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57A9" w14:textId="77777777" w:rsidR="00BE3F28" w:rsidRDefault="00BE3F28" w:rsidP="00BE3F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4B4F58"/>
        </w:rPr>
      </w:pPr>
      <w:r>
        <w:rPr>
          <w:rStyle w:val="Strong"/>
          <w:rFonts w:ascii="Lato" w:eastAsiaTheme="majorEastAsia" w:hAnsi="Lato"/>
          <w:color w:val="4B4F58"/>
          <w:bdr w:val="none" w:sz="0" w:space="0" w:color="auto" w:frame="1"/>
        </w:rPr>
        <w:t>Background</w:t>
      </w:r>
      <w:r>
        <w:rPr>
          <w:rFonts w:ascii="Lato" w:hAnsi="Lato"/>
          <w:color w:val="4B4F58"/>
        </w:rPr>
        <w:br/>
        <w:t>General Dynamics Corporation and its subsidiaries (hereinafter “General Dynamics”)</w:t>
      </w:r>
      <w:r>
        <w:rPr>
          <w:rFonts w:ascii="Lato" w:hAnsi="Lato"/>
          <w:color w:val="4B4F58"/>
        </w:rPr>
        <w:br/>
        <w:t>is a global aerospace and defence company. Our broad portfolio of products and</w:t>
      </w:r>
      <w:r>
        <w:rPr>
          <w:rFonts w:ascii="Lato" w:hAnsi="Lato"/>
          <w:color w:val="4B4F58"/>
        </w:rPr>
        <w:br/>
        <w:t xml:space="preserve">services </w:t>
      </w:r>
      <w:proofErr w:type="gramStart"/>
      <w:r>
        <w:rPr>
          <w:rFonts w:ascii="Lato" w:hAnsi="Lato"/>
          <w:color w:val="4B4F58"/>
        </w:rPr>
        <w:t>includes</w:t>
      </w:r>
      <w:proofErr w:type="gramEnd"/>
      <w:r>
        <w:rPr>
          <w:rFonts w:ascii="Lato" w:hAnsi="Lato"/>
          <w:color w:val="4B4F58"/>
        </w:rPr>
        <w:t xml:space="preserve"> business aviation, combat vehicles, weapons systems and</w:t>
      </w:r>
      <w:r>
        <w:rPr>
          <w:rFonts w:ascii="Lato" w:hAnsi="Lato"/>
          <w:color w:val="4B4F58"/>
        </w:rPr>
        <w:br/>
        <w:t>munitions, C4ISR and IT solutions and shipbuilding. General Dynamics’ UK member</w:t>
      </w:r>
      <w:r>
        <w:rPr>
          <w:rFonts w:ascii="Lato" w:hAnsi="Lato"/>
          <w:color w:val="4B4F58"/>
        </w:rPr>
        <w:br/>
        <w:t>companies are listed in Appendix A (The UK Group).</w:t>
      </w:r>
    </w:p>
    <w:p w14:paraId="4DC74840" w14:textId="77777777" w:rsidR="00BE3F28" w:rsidRDefault="00BE3F28" w:rsidP="00BE3F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4B4F58"/>
        </w:rPr>
      </w:pPr>
    </w:p>
    <w:p w14:paraId="08A45C39" w14:textId="77777777" w:rsidR="00BE3F28" w:rsidRDefault="00BE3F28" w:rsidP="00BE3F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4B4F58"/>
        </w:rPr>
      </w:pPr>
      <w:r>
        <w:rPr>
          <w:rStyle w:val="Strong"/>
          <w:rFonts w:ascii="Lato" w:eastAsiaTheme="majorEastAsia" w:hAnsi="Lato"/>
          <w:color w:val="4B4F58"/>
          <w:bdr w:val="none" w:sz="0" w:space="0" w:color="auto" w:frame="1"/>
        </w:rPr>
        <w:t>Policy regarding UK Taxation</w:t>
      </w:r>
      <w:r>
        <w:rPr>
          <w:rFonts w:ascii="Lato" w:hAnsi="Lato"/>
          <w:color w:val="4B4F58"/>
        </w:rPr>
        <w:br/>
        <w:t>Our worldwide and UK business activities generate substantial economic activity and</w:t>
      </w:r>
      <w:r>
        <w:rPr>
          <w:rFonts w:ascii="Lato" w:hAnsi="Lato"/>
          <w:color w:val="4B4F58"/>
        </w:rPr>
        <w:br/>
        <w:t>generate substantial payments of various taxes that significantly contribute to the</w:t>
      </w:r>
      <w:r>
        <w:rPr>
          <w:rFonts w:ascii="Lato" w:hAnsi="Lato"/>
          <w:color w:val="4B4F58"/>
        </w:rPr>
        <w:br/>
        <w:t>economy of the countries in which we operate. In addition, we collect and pay</w:t>
      </w:r>
      <w:r>
        <w:rPr>
          <w:rFonts w:ascii="Lato" w:hAnsi="Lato"/>
          <w:color w:val="4B4F58"/>
        </w:rPr>
        <w:br/>
        <w:t>employee taxes as well as indirect taxes such as excise duties and VAT.</w:t>
      </w:r>
    </w:p>
    <w:p w14:paraId="48D6CD54" w14:textId="1475DCCD" w:rsidR="00BE3F28" w:rsidRDefault="00BE3F28" w:rsidP="00BE3F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4B4F58"/>
        </w:rPr>
      </w:pPr>
      <w:r>
        <w:rPr>
          <w:rFonts w:ascii="Lato" w:hAnsi="Lato"/>
          <w:color w:val="4B4F58"/>
        </w:rPr>
        <w:br/>
        <w:t>General Dynamics’ overall policy with respect to taxation and tax planning is to</w:t>
      </w:r>
      <w:r>
        <w:rPr>
          <w:rFonts w:ascii="Lato" w:hAnsi="Lato"/>
          <w:color w:val="4B4F58"/>
        </w:rPr>
        <w:br/>
        <w:t>ensure that we pay the right amount of tax, in the right place, at the right time. This is</w:t>
      </w:r>
      <w:r>
        <w:rPr>
          <w:rFonts w:ascii="Lato" w:hAnsi="Lato"/>
          <w:color w:val="4B4F58"/>
        </w:rPr>
        <w:br/>
        <w:t>part of our overall global commitment to being a highly ethical and responsible</w:t>
      </w:r>
      <w:r>
        <w:rPr>
          <w:rFonts w:ascii="Lato" w:hAnsi="Lato"/>
          <w:color w:val="4B4F58"/>
        </w:rPr>
        <w:br/>
        <w:t>business for our customers, employees, shareholders, communities and other</w:t>
      </w:r>
      <w:r>
        <w:rPr>
          <w:rFonts w:ascii="Lato" w:hAnsi="Lato"/>
          <w:color w:val="4B4F58"/>
        </w:rPr>
        <w:br/>
        <w:t>stakeholders.</w:t>
      </w:r>
    </w:p>
    <w:p w14:paraId="2E949070" w14:textId="77777777" w:rsidR="00BE3F28" w:rsidRDefault="00BE3F28" w:rsidP="00BE3F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4B4F58"/>
        </w:rPr>
      </w:pPr>
    </w:p>
    <w:p w14:paraId="738FEEBF" w14:textId="77777777" w:rsidR="00BE3F28" w:rsidRDefault="00BE3F28" w:rsidP="00BE3F28">
      <w:pPr>
        <w:pStyle w:val="NormalWeb"/>
        <w:shd w:val="clear" w:color="auto" w:fill="FFFFFF"/>
        <w:spacing w:before="0" w:beforeAutospacing="0" w:after="576" w:afterAutospacing="0"/>
        <w:textAlignment w:val="baseline"/>
        <w:rPr>
          <w:rFonts w:ascii="Lato" w:hAnsi="Lato"/>
          <w:color w:val="4B4F58"/>
        </w:rPr>
      </w:pPr>
      <w:r>
        <w:rPr>
          <w:rFonts w:ascii="Lato" w:hAnsi="Lato"/>
          <w:color w:val="4B4F58"/>
        </w:rPr>
        <w:t>Because a majority of our turnover is with governments, we are acutely cognizant of</w:t>
      </w:r>
      <w:r>
        <w:rPr>
          <w:rFonts w:ascii="Lato" w:hAnsi="Lato"/>
          <w:color w:val="4B4F58"/>
        </w:rPr>
        <w:br/>
        <w:t>the possible negative effects that aggressive tax planning might have on our</w:t>
      </w:r>
      <w:r>
        <w:rPr>
          <w:rFonts w:ascii="Lato" w:hAnsi="Lato"/>
          <w:color w:val="4B4F58"/>
        </w:rPr>
        <w:br/>
        <w:t>reputation and ability to win future contracts. In addition, a very high sense of ethics</w:t>
      </w:r>
      <w:r>
        <w:rPr>
          <w:rFonts w:ascii="Lato" w:hAnsi="Lato"/>
          <w:color w:val="4B4F58"/>
        </w:rPr>
        <w:br/>
        <w:t>is insufflated throughout our operations by our board and management, which is</w:t>
      </w:r>
      <w:r>
        <w:rPr>
          <w:rFonts w:ascii="Lato" w:hAnsi="Lato"/>
          <w:color w:val="4B4F58"/>
        </w:rPr>
        <w:br/>
        <w:t>another factor governing our very conservative threshold of acceptable tax risk.</w:t>
      </w:r>
      <w:r>
        <w:rPr>
          <w:rFonts w:ascii="Lato" w:hAnsi="Lato"/>
          <w:color w:val="4B4F58"/>
        </w:rPr>
        <w:br/>
        <w:t>In consequence, we are committed to adopt a low threshold of acceptable tax risk</w:t>
      </w:r>
      <w:r>
        <w:rPr>
          <w:rFonts w:ascii="Lato" w:hAnsi="Lato"/>
          <w:color w:val="4B4F58"/>
        </w:rPr>
        <w:br/>
        <w:t>and to ensure an excellent level of communication and transparency with HMRC at</w:t>
      </w:r>
      <w:r>
        <w:rPr>
          <w:rFonts w:ascii="Lato" w:hAnsi="Lato"/>
          <w:color w:val="4B4F58"/>
        </w:rPr>
        <w:br/>
        <w:t>all times. In recognition to this and ever since this approach to managing tax</w:t>
      </w:r>
      <w:r>
        <w:rPr>
          <w:rFonts w:ascii="Lato" w:hAnsi="Lato"/>
          <w:color w:val="4B4F58"/>
        </w:rPr>
        <w:br/>
        <w:t>compliance risk was introduced, HMRC has granted and consistently confirmed a</w:t>
      </w:r>
      <w:r>
        <w:rPr>
          <w:rFonts w:ascii="Lato" w:hAnsi="Lato"/>
          <w:color w:val="4B4F58"/>
        </w:rPr>
        <w:br/>
        <w:t xml:space="preserve">low risk rating to </w:t>
      </w:r>
      <w:proofErr w:type="gramStart"/>
      <w:r>
        <w:rPr>
          <w:rFonts w:ascii="Lato" w:hAnsi="Lato"/>
          <w:color w:val="4B4F58"/>
        </w:rPr>
        <w:t>all of</w:t>
      </w:r>
      <w:proofErr w:type="gramEnd"/>
      <w:r>
        <w:rPr>
          <w:rFonts w:ascii="Lato" w:hAnsi="Lato"/>
          <w:color w:val="4B4F58"/>
        </w:rPr>
        <w:t xml:space="preserve"> our companies in the United Kingdom.</w:t>
      </w:r>
    </w:p>
    <w:p w14:paraId="73C7106B" w14:textId="77777777" w:rsidR="00BE3F28" w:rsidRDefault="00BE3F28" w:rsidP="00BE3F28">
      <w:pPr>
        <w:pStyle w:val="NormalWeb"/>
        <w:shd w:val="clear" w:color="auto" w:fill="FFFFFF"/>
        <w:spacing w:before="0" w:beforeAutospacing="0" w:after="576" w:afterAutospacing="0"/>
        <w:textAlignment w:val="baseline"/>
        <w:rPr>
          <w:rFonts w:ascii="Lato" w:hAnsi="Lato"/>
          <w:color w:val="4B4F58"/>
        </w:rPr>
      </w:pPr>
      <w:r>
        <w:rPr>
          <w:rFonts w:ascii="Lato" w:hAnsi="Lato"/>
          <w:color w:val="4B4F58"/>
        </w:rPr>
        <w:t>With that in mind, General Dynamics is committed to conducting its tax affairs</w:t>
      </w:r>
      <w:r>
        <w:rPr>
          <w:rFonts w:ascii="Lato" w:hAnsi="Lato"/>
          <w:color w:val="4B4F58"/>
        </w:rPr>
        <w:br/>
        <w:t>consistently with the following objectives:</w:t>
      </w:r>
      <w:r>
        <w:rPr>
          <w:rFonts w:ascii="Lato" w:hAnsi="Lato"/>
          <w:color w:val="4B4F58"/>
        </w:rPr>
        <w:br/>
        <w:t>– To comply fully with applicable laws, rules, regulations and reporting and</w:t>
      </w:r>
      <w:r>
        <w:rPr>
          <w:rFonts w:ascii="Lato" w:hAnsi="Lato"/>
          <w:color w:val="4B4F58"/>
        </w:rPr>
        <w:br/>
        <w:t>disclosure requirements.</w:t>
      </w:r>
      <w:r>
        <w:rPr>
          <w:rFonts w:ascii="Lato" w:hAnsi="Lato"/>
          <w:color w:val="4B4F58"/>
        </w:rPr>
        <w:br/>
        <w:t>– To pay the right amount of tax and file all appropriate tax returns in a timely</w:t>
      </w:r>
      <w:r>
        <w:rPr>
          <w:rFonts w:ascii="Lato" w:hAnsi="Lato"/>
          <w:color w:val="4B4F58"/>
        </w:rPr>
        <w:br/>
        <w:t>manner.</w:t>
      </w:r>
      <w:r>
        <w:rPr>
          <w:rFonts w:ascii="Lato" w:hAnsi="Lato"/>
          <w:color w:val="4B4F58"/>
        </w:rPr>
        <w:br/>
        <w:t>– Not to use contrived or artificial arrangements that lack economic substance or tax</w:t>
      </w:r>
      <w:r>
        <w:rPr>
          <w:rFonts w:ascii="Lato" w:hAnsi="Lato"/>
          <w:color w:val="4B4F58"/>
        </w:rPr>
        <w:br/>
        <w:t>havens to reduce tax liabilities.</w:t>
      </w:r>
      <w:r>
        <w:rPr>
          <w:rFonts w:ascii="Lato" w:hAnsi="Lato"/>
          <w:color w:val="4B4F58"/>
        </w:rPr>
        <w:br/>
        <w:t>– To comply with the arm’s length principle when entering into intercompany</w:t>
      </w:r>
      <w:r>
        <w:rPr>
          <w:rFonts w:ascii="Lato" w:hAnsi="Lato"/>
          <w:color w:val="4B4F58"/>
        </w:rPr>
        <w:br/>
        <w:t>transaction.</w:t>
      </w:r>
      <w:r>
        <w:rPr>
          <w:rFonts w:ascii="Lato" w:hAnsi="Lato"/>
          <w:color w:val="4B4F58"/>
        </w:rPr>
        <w:br/>
        <w:t>– To take advantage of relevant tax reliefs and incentives available to minimise tax in</w:t>
      </w:r>
      <w:r>
        <w:rPr>
          <w:rFonts w:ascii="Lato" w:hAnsi="Lato"/>
          <w:color w:val="4B4F58"/>
        </w:rPr>
        <w:br/>
        <w:t>a manner consistent with the government’s policy objectives.</w:t>
      </w:r>
      <w:r>
        <w:rPr>
          <w:rFonts w:ascii="Lato" w:hAnsi="Lato"/>
          <w:color w:val="4B4F58"/>
        </w:rPr>
        <w:br/>
        <w:t>– To act with integrity and transparency in all tax matters.</w:t>
      </w:r>
      <w:r>
        <w:rPr>
          <w:rFonts w:ascii="Lato" w:hAnsi="Lato"/>
          <w:color w:val="4B4F58"/>
        </w:rPr>
        <w:br/>
        <w:t>– To maintain an open and honest relationship with the tax authorities. We will not</w:t>
      </w:r>
      <w:r>
        <w:rPr>
          <w:rFonts w:ascii="Lato" w:hAnsi="Lato"/>
          <w:color w:val="4B4F58"/>
        </w:rPr>
        <w:br/>
        <w:t>deliberately conceal or knowingly misrepresent issues and if errors are discovered</w:t>
      </w:r>
      <w:r>
        <w:rPr>
          <w:rFonts w:ascii="Lato" w:hAnsi="Lato"/>
          <w:color w:val="4B4F58"/>
        </w:rPr>
        <w:br/>
        <w:t>they will be disclosed in a timely manner.</w:t>
      </w:r>
    </w:p>
    <w:p w14:paraId="36CDBC9A" w14:textId="77777777" w:rsidR="00BE3F28" w:rsidRDefault="00BE3F28" w:rsidP="00BE3F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4B4F58"/>
        </w:rPr>
      </w:pPr>
      <w:r>
        <w:rPr>
          <w:rStyle w:val="Strong"/>
          <w:rFonts w:ascii="Lato" w:eastAsiaTheme="majorEastAsia" w:hAnsi="Lato"/>
          <w:color w:val="4B4F58"/>
          <w:bdr w:val="none" w:sz="0" w:space="0" w:color="auto" w:frame="1"/>
        </w:rPr>
        <w:lastRenderedPageBreak/>
        <w:t>Governance and implementation</w:t>
      </w:r>
      <w:r>
        <w:rPr>
          <w:rFonts w:ascii="Lato" w:hAnsi="Lato"/>
          <w:color w:val="4B4F58"/>
        </w:rPr>
        <w:br/>
        <w:t>General Dynamics’s Corporate Vice President – Taxes (“VP–Taxes”) is responsible</w:t>
      </w:r>
      <w:r>
        <w:rPr>
          <w:rFonts w:ascii="Lato" w:hAnsi="Lato"/>
          <w:color w:val="4B4F58"/>
        </w:rPr>
        <w:br/>
        <w:t>for developing and implementing tax strategy consistent with the policy noted above.</w:t>
      </w:r>
      <w:r>
        <w:rPr>
          <w:rFonts w:ascii="Lato" w:hAnsi="Lato"/>
          <w:color w:val="4B4F58"/>
        </w:rPr>
        <w:br/>
        <w:t>The VP-Taxes works closely with General Dynamics’s Senior Vice President and</w:t>
      </w:r>
      <w:r>
        <w:rPr>
          <w:rFonts w:ascii="Lato" w:hAnsi="Lato"/>
          <w:color w:val="4B4F58"/>
        </w:rPr>
        <w:br/>
        <w:t>Chief Financial Officer and periodically brief’s the Audit Committee of the Company’s</w:t>
      </w:r>
      <w:r>
        <w:rPr>
          <w:rFonts w:ascii="Lato" w:hAnsi="Lato"/>
          <w:color w:val="4B4F58"/>
        </w:rPr>
        <w:br/>
        <w:t>Board of Directors, which is committed to ensuring that the business is managed</w:t>
      </w:r>
      <w:r>
        <w:rPr>
          <w:rFonts w:ascii="Lato" w:hAnsi="Lato"/>
          <w:color w:val="4B4F58"/>
        </w:rPr>
        <w:br/>
        <w:t>consistent with the high ethical standards. The tax strategy is applicable to General</w:t>
      </w:r>
      <w:r>
        <w:rPr>
          <w:rFonts w:ascii="Lato" w:hAnsi="Lato"/>
          <w:color w:val="4B4F58"/>
        </w:rPr>
        <w:br/>
        <w:t>Dynamics and the worldwide group of companies for which General Dynamics</w:t>
      </w:r>
      <w:r>
        <w:rPr>
          <w:rFonts w:ascii="Lato" w:hAnsi="Lato"/>
          <w:color w:val="4B4F58"/>
        </w:rPr>
        <w:br/>
        <w:t xml:space="preserve">Corporation (GDC) has ultimate control (The Group). The tax strategy is </w:t>
      </w:r>
      <w:proofErr w:type="spellStart"/>
      <w:r>
        <w:rPr>
          <w:rFonts w:ascii="Lato" w:hAnsi="Lato"/>
          <w:color w:val="4B4F58"/>
        </w:rPr>
        <w:t>publically</w:t>
      </w:r>
      <w:proofErr w:type="spellEnd"/>
      <w:r>
        <w:rPr>
          <w:rFonts w:ascii="Lato" w:hAnsi="Lato"/>
          <w:color w:val="4B4F58"/>
        </w:rPr>
        <w:br/>
        <w:t>available on the website of General Dynamics United Kingdom Limited to enable</w:t>
      </w:r>
      <w:r>
        <w:rPr>
          <w:rFonts w:ascii="Lato" w:hAnsi="Lato"/>
          <w:color w:val="4B4F58"/>
        </w:rPr>
        <w:br/>
        <w:t>external stakeholders to understand The Group’s approach to tax. It has been</w:t>
      </w:r>
      <w:r>
        <w:rPr>
          <w:rFonts w:ascii="Lato" w:hAnsi="Lato"/>
          <w:color w:val="4B4F58"/>
        </w:rPr>
        <w:br/>
        <w:t>prepared and published in accordance with Schedule 19 to the Finance Act 2016</w:t>
      </w:r>
      <w:r>
        <w:rPr>
          <w:rFonts w:ascii="Lato" w:hAnsi="Lato"/>
          <w:color w:val="4B4F58"/>
        </w:rPr>
        <w:br/>
        <w:t>and complies with the duty under paragraph 16(2).</w:t>
      </w:r>
    </w:p>
    <w:p w14:paraId="0DC930CC" w14:textId="54E7D231" w:rsidR="00BE3F28" w:rsidRDefault="00BE3F28" w:rsidP="00BE3F28">
      <w:pPr>
        <w:pStyle w:val="NormalWeb"/>
        <w:shd w:val="clear" w:color="auto" w:fill="FFFFFF"/>
        <w:spacing w:before="0" w:beforeAutospacing="0" w:after="576" w:afterAutospacing="0"/>
        <w:textAlignment w:val="baseline"/>
        <w:rPr>
          <w:rFonts w:ascii="Lato" w:hAnsi="Lato"/>
          <w:color w:val="4B4F58"/>
        </w:rPr>
      </w:pPr>
      <w:r>
        <w:rPr>
          <w:rFonts w:ascii="Lato" w:hAnsi="Lato"/>
          <w:color w:val="4B4F58"/>
        </w:rPr>
        <w:t xml:space="preserve">This strategy is effective for the year ended 31 </w:t>
      </w:r>
      <w:r w:rsidRPr="00A56782">
        <w:rPr>
          <w:rFonts w:ascii="Lato" w:hAnsi="Lato"/>
          <w:color w:val="4B4F58"/>
        </w:rPr>
        <w:t>December 202</w:t>
      </w:r>
      <w:r w:rsidR="00A56782" w:rsidRPr="00A56782">
        <w:rPr>
          <w:rFonts w:ascii="Lato" w:hAnsi="Lato"/>
          <w:color w:val="4B4F58"/>
        </w:rPr>
        <w:t>5</w:t>
      </w:r>
      <w:r>
        <w:rPr>
          <w:rFonts w:ascii="Lato" w:hAnsi="Lato"/>
          <w:color w:val="4B4F58"/>
        </w:rPr>
        <w:t xml:space="preserve"> and will be reviewed</w:t>
      </w:r>
      <w:r>
        <w:rPr>
          <w:rFonts w:ascii="Lato" w:hAnsi="Lato"/>
          <w:color w:val="4B4F58"/>
        </w:rPr>
        <w:br/>
        <w:t>annually and will remain in force until it is superseded.</w:t>
      </w:r>
    </w:p>
    <w:p w14:paraId="7A61B535" w14:textId="77777777" w:rsidR="00BE3F28" w:rsidRDefault="00BE3F28" w:rsidP="00BE3F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4B4F58"/>
        </w:rPr>
      </w:pPr>
      <w:r>
        <w:rPr>
          <w:rStyle w:val="Strong"/>
          <w:rFonts w:ascii="Lato" w:eastAsiaTheme="majorEastAsia" w:hAnsi="Lato"/>
          <w:color w:val="4B4F58"/>
          <w:bdr w:val="none" w:sz="0" w:space="0" w:color="auto" w:frame="1"/>
        </w:rPr>
        <w:t>Governance</w:t>
      </w:r>
      <w:r>
        <w:rPr>
          <w:rFonts w:ascii="Lato" w:hAnsi="Lato"/>
          <w:color w:val="4B4F58"/>
        </w:rPr>
        <w:br/>
        <w:t>The Group’s tax department is part of the central finance function that reports to the</w:t>
      </w:r>
      <w:r>
        <w:rPr>
          <w:rFonts w:ascii="Lato" w:hAnsi="Lato"/>
          <w:color w:val="4B4F58"/>
        </w:rPr>
        <w:br/>
        <w:t>Senior Vice President and Chief Financial Officer of GDC. Responsibility for tax is</w:t>
      </w:r>
      <w:r>
        <w:rPr>
          <w:rFonts w:ascii="Lato" w:hAnsi="Lato"/>
          <w:color w:val="4B4F58"/>
        </w:rPr>
        <w:br/>
        <w:t>delegated to the VP–Taxes who delegates certain responsibilities relating to</w:t>
      </w:r>
      <w:r>
        <w:rPr>
          <w:rFonts w:ascii="Lato" w:hAnsi="Lato"/>
          <w:color w:val="4B4F58"/>
        </w:rPr>
        <w:br/>
        <w:t>European tax to the EMEA Tax Director. The VP–Taxes and the EMEA Tax Director</w:t>
      </w:r>
      <w:r>
        <w:rPr>
          <w:rFonts w:ascii="Lato" w:hAnsi="Lato"/>
          <w:color w:val="4B4F58"/>
        </w:rPr>
        <w:br/>
        <w:t>lead a team of experienced tax professionals who have appropriate professional</w:t>
      </w:r>
      <w:r>
        <w:rPr>
          <w:rFonts w:ascii="Lato" w:hAnsi="Lato"/>
          <w:color w:val="4B4F58"/>
        </w:rPr>
        <w:br/>
        <w:t>qualifications and experience commensurate with the responsibilities required for</w:t>
      </w:r>
      <w:r>
        <w:rPr>
          <w:rFonts w:ascii="Lato" w:hAnsi="Lato"/>
          <w:color w:val="4B4F58"/>
        </w:rPr>
        <w:br/>
        <w:t>their roles. Certain UK related responsibilities are delegated to the (UK) Group</w:t>
      </w:r>
      <w:r>
        <w:rPr>
          <w:rFonts w:ascii="Lato" w:hAnsi="Lato"/>
          <w:color w:val="4B4F58"/>
        </w:rPr>
        <w:br/>
        <w:t>Finance Director and the Tax Manager within General Dynamics Global Holdings Ltd</w:t>
      </w:r>
      <w:r>
        <w:rPr>
          <w:rFonts w:ascii="Lato" w:hAnsi="Lato"/>
          <w:color w:val="4B4F58"/>
        </w:rPr>
        <w:br/>
        <w:t>who, with the UK based tax team, provide guidance and support to The UK Group.</w:t>
      </w:r>
      <w:r>
        <w:rPr>
          <w:rFonts w:ascii="Lato" w:hAnsi="Lato"/>
          <w:color w:val="4B4F58"/>
        </w:rPr>
        <w:br/>
        <w:t>There are robust internal policies, processes, training and compliance programmes</w:t>
      </w:r>
      <w:r>
        <w:rPr>
          <w:rFonts w:ascii="Lato" w:hAnsi="Lato"/>
          <w:color w:val="4B4F58"/>
        </w:rPr>
        <w:br/>
        <w:t>to ensure alignment across the business of tax obligations. Tax decisions will be</w:t>
      </w:r>
      <w:r>
        <w:rPr>
          <w:rFonts w:ascii="Lato" w:hAnsi="Lato"/>
          <w:color w:val="4B4F58"/>
        </w:rPr>
        <w:br/>
        <w:t>taken at an appropriate level as determined by the Delegations of Authority. The VP–</w:t>
      </w:r>
      <w:r>
        <w:rPr>
          <w:rFonts w:ascii="Lato" w:hAnsi="Lato"/>
          <w:color w:val="4B4F58"/>
        </w:rPr>
        <w:br/>
        <w:t>Taxes is responsible for ensuring that policies and procedures that support the</w:t>
      </w:r>
      <w:r>
        <w:rPr>
          <w:rFonts w:ascii="Lato" w:hAnsi="Lato"/>
          <w:color w:val="4B4F58"/>
        </w:rPr>
        <w:br/>
        <w:t>approach to tax are maintained and used consistently around the world. In addition,</w:t>
      </w:r>
      <w:r>
        <w:rPr>
          <w:rFonts w:ascii="Lato" w:hAnsi="Lato"/>
          <w:color w:val="4B4F58"/>
        </w:rPr>
        <w:br/>
        <w:t>The UK Group are part of the Senior Accounting Officer (SAO) sign- off process in</w:t>
      </w:r>
      <w:r>
        <w:rPr>
          <w:rFonts w:ascii="Lato" w:hAnsi="Lato"/>
          <w:color w:val="4B4F58"/>
        </w:rPr>
        <w:br/>
        <w:t>the UK that further ensures there are efficient tax accounting processes and controls</w:t>
      </w:r>
      <w:r>
        <w:rPr>
          <w:rFonts w:ascii="Lato" w:hAnsi="Lato"/>
          <w:color w:val="4B4F58"/>
        </w:rPr>
        <w:br/>
        <w:t>in place.</w:t>
      </w:r>
    </w:p>
    <w:p w14:paraId="1171ADD0" w14:textId="77777777" w:rsidR="00BE3F28" w:rsidRDefault="00BE3F28" w:rsidP="00BE3F28">
      <w:pPr>
        <w:pStyle w:val="NormalWeb"/>
        <w:shd w:val="clear" w:color="auto" w:fill="FFFFFF"/>
        <w:spacing w:before="0" w:beforeAutospacing="0" w:after="576" w:afterAutospacing="0"/>
        <w:textAlignment w:val="baseline"/>
        <w:rPr>
          <w:rFonts w:ascii="Lato" w:hAnsi="Lato"/>
          <w:color w:val="4B4F58"/>
        </w:rPr>
      </w:pPr>
      <w:r>
        <w:rPr>
          <w:rFonts w:ascii="Lato" w:hAnsi="Lato"/>
          <w:color w:val="4B4F58"/>
        </w:rPr>
        <w:t>All tax department members proactively seek to operate in line with the tax strategy.</w:t>
      </w:r>
      <w:r>
        <w:rPr>
          <w:rFonts w:ascii="Lato" w:hAnsi="Lato"/>
          <w:color w:val="4B4F58"/>
        </w:rPr>
        <w:br/>
        <w:t>They further seek to provide training and support to non-tax personnel across the</w:t>
      </w:r>
      <w:r>
        <w:rPr>
          <w:rFonts w:ascii="Lato" w:hAnsi="Lato"/>
          <w:color w:val="4B4F58"/>
        </w:rPr>
        <w:br/>
        <w:t>business whose decisions may have tax consequences so that business decisions</w:t>
      </w:r>
      <w:r>
        <w:rPr>
          <w:rFonts w:ascii="Lato" w:hAnsi="Lato"/>
          <w:color w:val="4B4F58"/>
        </w:rPr>
        <w:br/>
        <w:t>can be made in a manner that takes the tax strategy into account.</w:t>
      </w:r>
    </w:p>
    <w:p w14:paraId="5125CC45" w14:textId="77777777" w:rsidR="00BE3F28" w:rsidRDefault="00BE3F28" w:rsidP="00BE3F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4B4F58"/>
        </w:rPr>
      </w:pPr>
      <w:r>
        <w:rPr>
          <w:rStyle w:val="Strong"/>
          <w:rFonts w:ascii="Lato" w:eastAsiaTheme="majorEastAsia" w:hAnsi="Lato"/>
          <w:color w:val="4B4F58"/>
          <w:bdr w:val="none" w:sz="0" w:space="0" w:color="auto" w:frame="1"/>
        </w:rPr>
        <w:t>Tax Risk Management</w:t>
      </w:r>
      <w:r>
        <w:rPr>
          <w:rFonts w:ascii="Lato" w:hAnsi="Lato"/>
          <w:color w:val="4B4F58"/>
        </w:rPr>
        <w:br/>
        <w:t>Although our appetite for tax risk is low, uncertainty occasionally arises in applying</w:t>
      </w:r>
      <w:r>
        <w:rPr>
          <w:rFonts w:ascii="Lato" w:hAnsi="Lato"/>
          <w:color w:val="4B4F58"/>
        </w:rPr>
        <w:br/>
        <w:t>and interpreting complex tax laws as in any large and diverse multinational business.</w:t>
      </w:r>
      <w:r>
        <w:rPr>
          <w:rFonts w:ascii="Lato" w:hAnsi="Lato"/>
          <w:color w:val="4B4F58"/>
        </w:rPr>
        <w:br/>
        <w:t>We activity identify, monitor, manage and resolve these uncertainties to ensure risk</w:t>
      </w:r>
      <w:r>
        <w:rPr>
          <w:rFonts w:ascii="Lato" w:hAnsi="Lato"/>
          <w:color w:val="4B4F58"/>
        </w:rPr>
        <w:br/>
        <w:t>management remains in line with our objectives. Tax risk is assessed on a case-by-case</w:t>
      </w:r>
      <w:r>
        <w:rPr>
          <w:rFonts w:ascii="Lato" w:hAnsi="Lato"/>
          <w:color w:val="4B4F58"/>
        </w:rPr>
        <w:br/>
        <w:t xml:space="preserve">basis </w:t>
      </w:r>
      <w:proofErr w:type="gramStart"/>
      <w:r>
        <w:rPr>
          <w:rFonts w:ascii="Lato" w:hAnsi="Lato"/>
          <w:color w:val="4B4F58"/>
        </w:rPr>
        <w:t>taking into account</w:t>
      </w:r>
      <w:proofErr w:type="gramEnd"/>
      <w:r>
        <w:rPr>
          <w:rFonts w:ascii="Lato" w:hAnsi="Lato"/>
          <w:color w:val="4B4F58"/>
        </w:rPr>
        <w:t xml:space="preserve"> many factors, including the level of uncertainty, social</w:t>
      </w:r>
      <w:r>
        <w:rPr>
          <w:rFonts w:ascii="Lato" w:hAnsi="Lato"/>
          <w:color w:val="4B4F58"/>
        </w:rPr>
        <w:br/>
      </w:r>
      <w:r>
        <w:rPr>
          <w:rFonts w:ascii="Lato" w:hAnsi="Lato"/>
          <w:color w:val="4B4F58"/>
        </w:rPr>
        <w:lastRenderedPageBreak/>
        <w:t>responsibilities, reputational risk and the legal and fiduciary duties of directors and</w:t>
      </w:r>
      <w:r>
        <w:rPr>
          <w:rFonts w:ascii="Lato" w:hAnsi="Lato"/>
          <w:color w:val="4B4F58"/>
        </w:rPr>
        <w:br/>
        <w:t>employees.</w:t>
      </w:r>
    </w:p>
    <w:p w14:paraId="321A4663" w14:textId="77777777" w:rsidR="00BE3F28" w:rsidRDefault="00BE3F28" w:rsidP="00BE3F28">
      <w:pPr>
        <w:pStyle w:val="NormalWeb"/>
        <w:shd w:val="clear" w:color="auto" w:fill="FFFFFF"/>
        <w:spacing w:before="0" w:beforeAutospacing="0" w:after="576" w:afterAutospacing="0"/>
        <w:textAlignment w:val="baseline"/>
        <w:rPr>
          <w:rFonts w:ascii="Lato" w:hAnsi="Lato"/>
          <w:color w:val="4B4F58"/>
        </w:rPr>
      </w:pPr>
      <w:r>
        <w:rPr>
          <w:rFonts w:ascii="Lato" w:hAnsi="Lato"/>
          <w:color w:val="4B4F58"/>
        </w:rPr>
        <w:t>Tax positions with identified tax risk are typically supported through strong,</w:t>
      </w:r>
      <w:r>
        <w:rPr>
          <w:rFonts w:ascii="Lato" w:hAnsi="Lato"/>
          <w:color w:val="4B4F58"/>
        </w:rPr>
        <w:br/>
        <w:t>well-documented technical analysis. We typically involve external advisors in cases of</w:t>
      </w:r>
      <w:r>
        <w:rPr>
          <w:rFonts w:ascii="Lato" w:hAnsi="Lato"/>
          <w:color w:val="4B4F58"/>
        </w:rPr>
        <w:br/>
        <w:t>significant and material uncertainty or complexity. Our tax risk-averse approach is</w:t>
      </w:r>
      <w:r>
        <w:rPr>
          <w:rFonts w:ascii="Lato" w:hAnsi="Lato"/>
          <w:color w:val="4B4F58"/>
        </w:rPr>
        <w:br/>
        <w:t>reinforced by the potential significant impact on our reputation and ability to win</w:t>
      </w:r>
      <w:r>
        <w:rPr>
          <w:rFonts w:ascii="Lato" w:hAnsi="Lato"/>
          <w:color w:val="4B4F58"/>
        </w:rPr>
        <w:br/>
        <w:t>future contracts in the event of non-compliance with tax law. For example, the UK</w:t>
      </w:r>
      <w:r>
        <w:rPr>
          <w:rFonts w:ascii="Lato" w:hAnsi="Lato"/>
          <w:color w:val="4B4F58"/>
        </w:rPr>
        <w:br/>
        <w:t>introduced the ‘Procurement Policy Note’ effective 1 April 2013 which requires</w:t>
      </w:r>
      <w:r>
        <w:rPr>
          <w:rFonts w:ascii="Lato" w:hAnsi="Lato"/>
          <w:color w:val="4B4F58"/>
        </w:rPr>
        <w:br/>
        <w:t>suppliers to self-certify their tax compliance during the selection stage. Specific</w:t>
      </w:r>
      <w:r>
        <w:rPr>
          <w:rFonts w:ascii="Lato" w:hAnsi="Lato"/>
          <w:color w:val="4B4F58"/>
        </w:rPr>
        <w:br/>
        <w:t>questions are targeted towards criminal tax offences, tax returns which are incorrect</w:t>
      </w:r>
      <w:r>
        <w:rPr>
          <w:rFonts w:ascii="Lato" w:hAnsi="Lato"/>
          <w:color w:val="4B4F58"/>
        </w:rPr>
        <w:br/>
        <w:t>under the General Anti-Abuse Rule (GAAR) or for failure of an avoidance scheme</w:t>
      </w:r>
      <w:r>
        <w:rPr>
          <w:rFonts w:ascii="Lato" w:hAnsi="Lato"/>
          <w:color w:val="4B4F58"/>
        </w:rPr>
        <w:br/>
        <w:t>which should have been notified under the Disclosure of Tax Avoidance Scheme</w:t>
      </w:r>
      <w:r>
        <w:rPr>
          <w:rFonts w:ascii="Lato" w:hAnsi="Lato"/>
          <w:color w:val="4B4F58"/>
        </w:rPr>
        <w:br/>
        <w:t>(DOTAS). Occasions of non-compliance can result in the government contracting</w:t>
      </w:r>
      <w:r>
        <w:rPr>
          <w:rFonts w:ascii="Lato" w:hAnsi="Lato"/>
          <w:color w:val="4B4F58"/>
        </w:rPr>
        <w:br/>
        <w:t>department excluding the supplier from the procurement process which could have a</w:t>
      </w:r>
      <w:r>
        <w:rPr>
          <w:rFonts w:ascii="Lato" w:hAnsi="Lato"/>
          <w:color w:val="4B4F58"/>
        </w:rPr>
        <w:br/>
        <w:t>significant impact on the Company.</w:t>
      </w:r>
    </w:p>
    <w:p w14:paraId="350B1D35" w14:textId="77777777" w:rsidR="00BE3F28" w:rsidRDefault="00BE3F28" w:rsidP="00BE3F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4B4F58"/>
        </w:rPr>
      </w:pPr>
      <w:r>
        <w:rPr>
          <w:rStyle w:val="Strong"/>
          <w:rFonts w:ascii="Lato" w:eastAsiaTheme="majorEastAsia" w:hAnsi="Lato"/>
          <w:color w:val="4B4F58"/>
          <w:bdr w:val="none" w:sz="0" w:space="0" w:color="auto" w:frame="1"/>
        </w:rPr>
        <w:t>Approach to dealing with HMRC</w:t>
      </w:r>
      <w:r>
        <w:rPr>
          <w:rFonts w:ascii="Lato" w:hAnsi="Lato"/>
          <w:color w:val="4B4F58"/>
        </w:rPr>
        <w:br/>
        <w:t>General Dynamics participates in the Compliance Assurance Process (CAP) with the</w:t>
      </w:r>
      <w:r>
        <w:rPr>
          <w:rFonts w:ascii="Lato" w:hAnsi="Lato"/>
          <w:color w:val="4B4F58"/>
        </w:rPr>
        <w:br/>
        <w:t>Internal Revenue Service in the US. CAP is a selective program, to which the IRS</w:t>
      </w:r>
      <w:r>
        <w:rPr>
          <w:rFonts w:ascii="Lato" w:hAnsi="Lato"/>
          <w:color w:val="4B4F58"/>
        </w:rPr>
        <w:br/>
        <w:t>only admits low risk and compliant taxpayers. CAP taxpayers provide real-time</w:t>
      </w:r>
      <w:r>
        <w:rPr>
          <w:rFonts w:ascii="Lato" w:hAnsi="Lato"/>
          <w:color w:val="4B4F58"/>
        </w:rPr>
        <w:br/>
        <w:t>disclosure and receive real-time review of business activity and tax positions with</w:t>
      </w:r>
      <w:r>
        <w:rPr>
          <w:rFonts w:ascii="Lato" w:hAnsi="Lato"/>
          <w:color w:val="4B4F58"/>
        </w:rPr>
        <w:br/>
        <w:t>both the taxpayer and the IRS sharing information, analysis and review of such</w:t>
      </w:r>
      <w:r>
        <w:rPr>
          <w:rFonts w:ascii="Lato" w:hAnsi="Lato"/>
          <w:color w:val="4B4F58"/>
        </w:rPr>
        <w:br/>
        <w:t>business activity, transactions and other related matters so that CAP taxpayers’</w:t>
      </w:r>
      <w:r>
        <w:rPr>
          <w:rFonts w:ascii="Lato" w:hAnsi="Lato"/>
          <w:color w:val="4B4F58"/>
        </w:rPr>
        <w:br/>
        <w:t>returns can be fully audited and approved before filing. Once the return is filed and</w:t>
      </w:r>
      <w:r>
        <w:rPr>
          <w:rFonts w:ascii="Lato" w:hAnsi="Lato"/>
          <w:color w:val="4B4F58"/>
        </w:rPr>
        <w:br/>
        <w:t>confirmed as reflecting the agreed pre-filing review, the audit process is closed. This</w:t>
      </w:r>
      <w:r>
        <w:rPr>
          <w:rFonts w:ascii="Lato" w:hAnsi="Lato"/>
          <w:color w:val="4B4F58"/>
        </w:rPr>
        <w:br/>
        <w:t>cooperative process relies heavily on transparency.</w:t>
      </w:r>
    </w:p>
    <w:p w14:paraId="066C3A8C" w14:textId="77777777" w:rsidR="00BE3F28" w:rsidRDefault="00BE3F28" w:rsidP="00BE3F28">
      <w:pPr>
        <w:pStyle w:val="NormalWeb"/>
        <w:shd w:val="clear" w:color="auto" w:fill="FFFFFF"/>
        <w:spacing w:before="0" w:beforeAutospacing="0" w:after="576" w:afterAutospacing="0"/>
        <w:textAlignment w:val="baseline"/>
        <w:rPr>
          <w:rFonts w:ascii="Lato" w:hAnsi="Lato"/>
          <w:color w:val="4B4F58"/>
        </w:rPr>
      </w:pPr>
      <w:proofErr w:type="gramStart"/>
      <w:r>
        <w:rPr>
          <w:rFonts w:ascii="Lato" w:hAnsi="Lato"/>
          <w:color w:val="4B4F58"/>
        </w:rPr>
        <w:t>Similar to</w:t>
      </w:r>
      <w:proofErr w:type="gramEnd"/>
      <w:r>
        <w:rPr>
          <w:rFonts w:ascii="Lato" w:hAnsi="Lato"/>
          <w:color w:val="4B4F58"/>
        </w:rPr>
        <w:t xml:space="preserve"> General Dynamics’s status in the US as a CAP taxpayer, the Company’s</w:t>
      </w:r>
      <w:r>
        <w:rPr>
          <w:rFonts w:ascii="Lato" w:hAnsi="Lato"/>
          <w:color w:val="4B4F58"/>
        </w:rPr>
        <w:br/>
        <w:t xml:space="preserve">UK Group have had a </w:t>
      </w:r>
      <w:proofErr w:type="gramStart"/>
      <w:r>
        <w:rPr>
          <w:rFonts w:ascii="Lato" w:hAnsi="Lato"/>
          <w:color w:val="4B4F58"/>
        </w:rPr>
        <w:t>low risk</w:t>
      </w:r>
      <w:proofErr w:type="gramEnd"/>
      <w:r>
        <w:rPr>
          <w:rFonts w:ascii="Lato" w:hAnsi="Lato"/>
          <w:color w:val="4B4F58"/>
        </w:rPr>
        <w:t xml:space="preserve"> rating with HMRC since 2009, reflecting our</w:t>
      </w:r>
      <w:r>
        <w:rPr>
          <w:rFonts w:ascii="Lato" w:hAnsi="Lato"/>
          <w:color w:val="4B4F58"/>
        </w:rPr>
        <w:br/>
        <w:t>exemplary behaviour in our relationship with HMRC. This is underpinned by the</w:t>
      </w:r>
      <w:r>
        <w:rPr>
          <w:rFonts w:ascii="Lato" w:hAnsi="Lato"/>
          <w:color w:val="4B4F58"/>
        </w:rPr>
        <w:br/>
        <w:t>following behaviours:</w:t>
      </w:r>
    </w:p>
    <w:p w14:paraId="010EBA7F" w14:textId="77777777" w:rsidR="00BE3F28" w:rsidRDefault="00BE3F28" w:rsidP="00BE3F28">
      <w:pPr>
        <w:pStyle w:val="NormalWeb"/>
        <w:shd w:val="clear" w:color="auto" w:fill="FFFFFF"/>
        <w:spacing w:before="0" w:beforeAutospacing="0" w:after="576" w:afterAutospacing="0"/>
        <w:textAlignment w:val="baseline"/>
        <w:rPr>
          <w:rFonts w:ascii="Lato" w:hAnsi="Lato"/>
          <w:color w:val="4B4F58"/>
        </w:rPr>
      </w:pPr>
      <w:r>
        <w:rPr>
          <w:rFonts w:ascii="Lato" w:hAnsi="Lato"/>
          <w:color w:val="4B4F58"/>
        </w:rPr>
        <w:t>– We maintain an open and honest relationship and believe in engaging in full and</w:t>
      </w:r>
      <w:r>
        <w:rPr>
          <w:rFonts w:ascii="Lato" w:hAnsi="Lato"/>
          <w:color w:val="4B4F58"/>
        </w:rPr>
        <w:br/>
        <w:t>early dialogue with HMRC on UK Group’s tax affairs so that matters are addressed</w:t>
      </w:r>
      <w:r>
        <w:rPr>
          <w:rFonts w:ascii="Lato" w:hAnsi="Lato"/>
          <w:color w:val="4B4F58"/>
        </w:rPr>
        <w:br/>
        <w:t>on a real-time basis.</w:t>
      </w:r>
      <w:r>
        <w:rPr>
          <w:rFonts w:ascii="Lato" w:hAnsi="Lato"/>
          <w:color w:val="4B4F58"/>
        </w:rPr>
        <w:br/>
        <w:t>– We meet regularly with our Client Compliance Manager to discuss all areas of</w:t>
      </w:r>
      <w:r>
        <w:rPr>
          <w:rFonts w:ascii="Lato" w:hAnsi="Lato"/>
          <w:color w:val="4B4F58"/>
        </w:rPr>
        <w:br/>
        <w:t>taxes and seek advice in cases of uncertainty.</w:t>
      </w:r>
      <w:r>
        <w:rPr>
          <w:rFonts w:ascii="Lato" w:hAnsi="Lato"/>
          <w:color w:val="4B4F58"/>
        </w:rPr>
        <w:br/>
        <w:t>– We are committed to adopting the behaviours expected by HMRC as set out in the</w:t>
      </w:r>
      <w:r>
        <w:rPr>
          <w:rFonts w:ascii="Lato" w:hAnsi="Lato"/>
          <w:color w:val="4B4F58"/>
        </w:rPr>
        <w:br/>
        <w:t>‘Framework for Cooperative Compliance’ published on 9 December 2015.</w:t>
      </w:r>
    </w:p>
    <w:p w14:paraId="5EC6956F" w14:textId="77777777" w:rsidR="00BE3F28" w:rsidRDefault="00BE3F28" w:rsidP="00BE3F28">
      <w:pPr>
        <w:pStyle w:val="NormalWeb"/>
        <w:shd w:val="clear" w:color="auto" w:fill="FFFFFF"/>
        <w:spacing w:before="0" w:beforeAutospacing="0" w:after="576" w:afterAutospacing="0"/>
        <w:textAlignment w:val="baseline"/>
        <w:rPr>
          <w:rFonts w:ascii="Lato" w:hAnsi="Lato"/>
          <w:color w:val="4B4F58"/>
        </w:rPr>
      </w:pPr>
    </w:p>
    <w:p w14:paraId="0792D51F" w14:textId="77777777" w:rsidR="00BE3F28" w:rsidRPr="00BE3F28" w:rsidRDefault="00BE3F28" w:rsidP="00BE3F28">
      <w:pPr>
        <w:pStyle w:val="NormalWeb"/>
        <w:shd w:val="clear" w:color="auto" w:fill="FFFFFF"/>
        <w:spacing w:before="0" w:beforeAutospacing="0" w:after="576" w:afterAutospacing="0"/>
        <w:textAlignment w:val="baseline"/>
        <w:rPr>
          <w:rFonts w:ascii="Lato" w:hAnsi="Lato"/>
          <w:b/>
          <w:bCs/>
          <w:color w:val="4B4F58"/>
        </w:rPr>
      </w:pPr>
    </w:p>
    <w:p w14:paraId="2D153F01" w14:textId="0F3DD7EF" w:rsidR="00BE3F28" w:rsidRDefault="00BE3F28" w:rsidP="00BE3F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ato" w:hAnsi="Lato"/>
          <w:color w:val="4B4F58"/>
        </w:rPr>
      </w:pPr>
      <w:r>
        <w:rPr>
          <w:rFonts w:ascii="Lato" w:hAnsi="Lato"/>
          <w:color w:val="4B4F58"/>
        </w:rPr>
        <w:t>Annex A</w:t>
      </w:r>
      <w:r>
        <w:rPr>
          <w:rFonts w:ascii="Lato" w:hAnsi="Lato"/>
          <w:color w:val="4B4F58"/>
        </w:rPr>
        <w:br/>
      </w:r>
      <w:r>
        <w:rPr>
          <w:rStyle w:val="Strong"/>
          <w:rFonts w:ascii="Lato" w:eastAsiaTheme="majorEastAsia" w:hAnsi="Lato"/>
          <w:color w:val="4B4F58"/>
          <w:bdr w:val="none" w:sz="0" w:space="0" w:color="auto" w:frame="1"/>
        </w:rPr>
        <w:t>The UK Group</w:t>
      </w:r>
      <w:r>
        <w:rPr>
          <w:rFonts w:ascii="Lato" w:hAnsi="Lato"/>
          <w:color w:val="4B4F58"/>
        </w:rPr>
        <w:br/>
        <w:t>– General Dynamics Global Holdings Limited</w:t>
      </w:r>
      <w:r>
        <w:rPr>
          <w:rFonts w:ascii="Lato" w:hAnsi="Lato"/>
          <w:color w:val="4B4F58"/>
        </w:rPr>
        <w:br/>
        <w:t xml:space="preserve">– General Dynamics Mission Systems </w:t>
      </w:r>
      <w:r w:rsidRPr="00BE3F28">
        <w:rPr>
          <w:rFonts w:ascii="Lato" w:hAnsi="Lato"/>
          <w:color w:val="4B4F58"/>
        </w:rPr>
        <w:t xml:space="preserve">International </w:t>
      </w:r>
      <w:r w:rsidRPr="00BE3F28">
        <w:rPr>
          <w:rStyle w:val="Strong"/>
          <w:rFonts w:ascii="Lato" w:eastAsiaTheme="majorEastAsia" w:hAnsi="Lato"/>
          <w:b w:val="0"/>
          <w:bCs w:val="0"/>
          <w:color w:val="4B4F58"/>
          <w:bdr w:val="none" w:sz="0" w:space="0" w:color="auto" w:frame="1"/>
        </w:rPr>
        <w:t>Limited</w:t>
      </w:r>
      <w:r w:rsidRPr="00BE3F28">
        <w:rPr>
          <w:rFonts w:ascii="Lato" w:hAnsi="Lato"/>
          <w:color w:val="4B4F58"/>
        </w:rPr>
        <w:br/>
        <w:t>– Gulfstream Aerospace Limited</w:t>
      </w:r>
      <w:r w:rsidRPr="00BE3F28">
        <w:rPr>
          <w:rFonts w:ascii="Lato" w:hAnsi="Lato"/>
          <w:color w:val="4B4F58"/>
        </w:rPr>
        <w:br/>
      </w:r>
      <w:r>
        <w:rPr>
          <w:rFonts w:ascii="Lato" w:hAnsi="Lato"/>
          <w:color w:val="4B4F58"/>
        </w:rPr>
        <w:t>– General Dynamics European Finance Limited</w:t>
      </w:r>
      <w:r>
        <w:rPr>
          <w:rFonts w:ascii="Lato" w:hAnsi="Lato"/>
          <w:color w:val="4B4F58"/>
        </w:rPr>
        <w:br/>
        <w:t>– General Dynamics United Kingdom Limited</w:t>
      </w:r>
      <w:r>
        <w:rPr>
          <w:rFonts w:ascii="Lato" w:hAnsi="Lato"/>
          <w:color w:val="4B4F58"/>
        </w:rPr>
        <w:br/>
        <w:t>– General Dynamics Swiss Financial Management Limited</w:t>
      </w:r>
      <w:r>
        <w:rPr>
          <w:rFonts w:ascii="Lato" w:hAnsi="Lato"/>
          <w:color w:val="4B4F58"/>
        </w:rPr>
        <w:br/>
        <w:t>– General Dynamics Limited</w:t>
      </w:r>
      <w:r>
        <w:rPr>
          <w:rFonts w:ascii="Lato" w:hAnsi="Lato"/>
          <w:color w:val="4B4F58"/>
        </w:rPr>
        <w:br/>
        <w:t>– Information Services Consulting Ltd</w:t>
      </w:r>
      <w:r>
        <w:rPr>
          <w:rFonts w:ascii="Lato" w:hAnsi="Lato"/>
          <w:color w:val="4B4F58"/>
        </w:rPr>
        <w:br/>
        <w:t>– Electric Boat UK LLC</w:t>
      </w:r>
      <w:r>
        <w:rPr>
          <w:rFonts w:ascii="Lato" w:hAnsi="Lato"/>
          <w:color w:val="4B4F58"/>
        </w:rPr>
        <w:br/>
        <w:t>– GDMSOC</w:t>
      </w:r>
    </w:p>
    <w:p w14:paraId="19E1785A" w14:textId="77777777" w:rsidR="00406DE1" w:rsidRDefault="00406DE1"/>
    <w:sectPr w:rsidR="00406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28"/>
    <w:rsid w:val="003102EA"/>
    <w:rsid w:val="003171B8"/>
    <w:rsid w:val="00406DE1"/>
    <w:rsid w:val="00A56782"/>
    <w:rsid w:val="00BE3F28"/>
    <w:rsid w:val="00C24B62"/>
    <w:rsid w:val="00D33C54"/>
    <w:rsid w:val="00D42141"/>
    <w:rsid w:val="00E0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712C"/>
  <w15:chartTrackingRefBased/>
  <w15:docId w15:val="{C029A452-0CFB-47BE-A36E-CAED6E2D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F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E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ab08dbc-6808-4d27-8087-849c36a7fd86}" enabled="1" method="Privileged" siteId="{27f52091-606b-431f-bc74-4aaec2a824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7623</Characters>
  <Application>Microsoft Office Word</Application>
  <DocSecurity>4</DocSecurity>
  <Lines>63</Lines>
  <Paragraphs>17</Paragraphs>
  <ScaleCrop>false</ScaleCrop>
  <Company>General Dynamics UK Ltd - Mission Systems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Moore</dc:creator>
  <cp:keywords/>
  <dc:description/>
  <cp:lastModifiedBy>Nicola Moore</cp:lastModifiedBy>
  <cp:revision>2</cp:revision>
  <dcterms:created xsi:type="dcterms:W3CDTF">2026-01-15T10:05:00Z</dcterms:created>
  <dcterms:modified xsi:type="dcterms:W3CDTF">2026-01-15T10:05:00Z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2024-11-19T22:45:08Z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27f52091-606b-431f-bc74-4aaec2a82414</vt:lpwstr>
  </property>
  <property fmtid="{D5CDD505-2E9C-101B-9397-08002B2CF9AE}" pid="7" name="MSIP_Label_defa4170-0d19-0005-0004-bc88714345d2_ActionId">
    <vt:lpwstr>312b3d68-5bae-4406-8367-9e3edfa01ae1</vt:lpwstr>
  </property>
  <property fmtid="{D5CDD505-2E9C-101B-9397-08002B2CF9AE}" pid="8" name="MSIP_Label_defa4170-0d19-0005-0004-bc88714345d2_ContentBits">
    <vt:lpwstr>0</vt:lpwstr>
  </property>
</Properties>
</file>