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006A" w14:textId="0A4130C2" w:rsidR="009D7683" w:rsidRPr="00276B57" w:rsidRDefault="009D7683" w:rsidP="009D7683">
      <w:pPr>
        <w:pStyle w:val="Introtext"/>
        <w:rPr>
          <w:rFonts w:cs="Arial"/>
          <w:b/>
          <w:color w:val="auto"/>
          <w:sz w:val="52"/>
        </w:rPr>
      </w:pPr>
      <w:bookmarkStart w:id="0" w:name="_Toc497143270"/>
      <w:bookmarkStart w:id="1" w:name="_Toc497303465"/>
      <w:bookmarkStart w:id="2" w:name="_Toc49344745"/>
      <w:bookmarkStart w:id="3" w:name="_Toc146806549"/>
      <w:r w:rsidRPr="00276B57">
        <w:rPr>
          <w:rFonts w:cs="Arial"/>
          <w:b/>
          <w:color w:val="auto"/>
          <w:sz w:val="52"/>
        </w:rPr>
        <w:t xml:space="preserve">General Dynamics UK Limited </w:t>
      </w:r>
      <w:r w:rsidRPr="00276B57">
        <w:rPr>
          <w:rFonts w:cs="Arial"/>
          <w:b/>
          <w:color w:val="auto"/>
          <w:sz w:val="40"/>
        </w:rPr>
        <w:t>Retirement and Death Benefit Scheme</w:t>
      </w:r>
      <w:bookmarkEnd w:id="0"/>
      <w:bookmarkEnd w:id="1"/>
      <w:bookmarkEnd w:id="2"/>
      <w:bookmarkEnd w:id="3"/>
    </w:p>
    <w:p w14:paraId="4B3CB321" w14:textId="524848EF" w:rsidR="006D270D" w:rsidRDefault="006D270D" w:rsidP="006D270D">
      <w:pPr>
        <w:pStyle w:val="Introtext"/>
        <w:rPr>
          <w:rFonts w:ascii="Arial Bold" w:hAnsi="Arial Bold" w:hint="eastAsia"/>
          <w:b/>
          <w:color w:val="00864A"/>
        </w:rPr>
      </w:pPr>
      <w:bookmarkStart w:id="4" w:name="_Toc497143271"/>
      <w:bookmarkStart w:id="5" w:name="_Toc497303466"/>
      <w:bookmarkStart w:id="6" w:name="_Toc49344746"/>
      <w:bookmarkStart w:id="7" w:name="_Toc146806550"/>
      <w:r w:rsidRPr="006D270D">
        <w:rPr>
          <w:rFonts w:ascii="Arial Bold" w:hAnsi="Arial Bold"/>
          <w:b/>
          <w:color w:val="00864A"/>
        </w:rPr>
        <w:t>Statement of Investment Principl</w:t>
      </w:r>
      <w:r w:rsidR="00D26E2E">
        <w:rPr>
          <w:rFonts w:ascii="Arial Bold" w:hAnsi="Arial Bold"/>
          <w:b/>
          <w:color w:val="00864A"/>
        </w:rPr>
        <w:t>e</w:t>
      </w:r>
      <w:r w:rsidRPr="006D270D">
        <w:rPr>
          <w:rFonts w:ascii="Arial Bold" w:hAnsi="Arial Bold"/>
          <w:b/>
          <w:color w:val="00864A"/>
        </w:rPr>
        <w:t>s</w:t>
      </w:r>
      <w:r>
        <w:rPr>
          <w:rFonts w:ascii="Arial Bold" w:hAnsi="Arial Bold"/>
          <w:b/>
          <w:color w:val="00864A"/>
        </w:rPr>
        <w:t xml:space="preserve"> </w:t>
      </w:r>
      <w:r w:rsidR="00756747">
        <w:rPr>
          <w:rFonts w:ascii="Arial Bold" w:hAnsi="Arial Bold"/>
          <w:b/>
          <w:color w:val="00864A"/>
        </w:rPr>
        <w:t>–</w:t>
      </w:r>
      <w:r>
        <w:rPr>
          <w:rFonts w:ascii="Arial Bold" w:hAnsi="Arial Bold"/>
          <w:b/>
          <w:color w:val="00864A"/>
        </w:rPr>
        <w:t xml:space="preserve"> </w:t>
      </w:r>
      <w:bookmarkEnd w:id="4"/>
      <w:bookmarkEnd w:id="5"/>
      <w:bookmarkEnd w:id="6"/>
      <w:r w:rsidR="00D676D3">
        <w:rPr>
          <w:rFonts w:ascii="Arial Bold" w:hAnsi="Arial Bold"/>
          <w:b/>
          <w:color w:val="00864A"/>
        </w:rPr>
        <w:t>September</w:t>
      </w:r>
      <w:r w:rsidR="00592414">
        <w:rPr>
          <w:rFonts w:ascii="Arial Bold" w:hAnsi="Arial Bold"/>
          <w:b/>
          <w:color w:val="00864A"/>
        </w:rPr>
        <w:t xml:space="preserve"> </w:t>
      </w:r>
      <w:r w:rsidR="00756747">
        <w:rPr>
          <w:rFonts w:ascii="Arial Bold" w:hAnsi="Arial Bold"/>
          <w:b/>
          <w:color w:val="00864A"/>
        </w:rPr>
        <w:t>202</w:t>
      </w:r>
      <w:r w:rsidR="00592414">
        <w:rPr>
          <w:rFonts w:ascii="Arial Bold" w:hAnsi="Arial Bold"/>
          <w:b/>
          <w:color w:val="00864A"/>
        </w:rPr>
        <w:t>3</w:t>
      </w:r>
      <w:bookmarkEnd w:id="7"/>
    </w:p>
    <w:p w14:paraId="72B0E3E8" w14:textId="77777777" w:rsidR="002E3203" w:rsidRDefault="002E3203" w:rsidP="006D270D">
      <w:pPr>
        <w:pStyle w:val="Introtext"/>
        <w:rPr>
          <w:rFonts w:ascii="Arial Bold" w:hAnsi="Arial Bold" w:hint="eastAsia"/>
          <w:b/>
          <w:color w:val="00864A"/>
        </w:rPr>
      </w:pPr>
    </w:p>
    <w:p w14:paraId="07244334" w14:textId="77777777" w:rsidR="000D41EB" w:rsidRDefault="006D270D" w:rsidP="002E3203">
      <w:pPr>
        <w:pStyle w:val="Callout"/>
        <w:framePr w:wrap="around"/>
      </w:pPr>
      <w:bookmarkStart w:id="8" w:name="_Toc497143272"/>
      <w:bookmarkStart w:id="9" w:name="_Toc497303467"/>
      <w:r w:rsidRPr="000D41EB">
        <w:t>Revision History</w:t>
      </w:r>
      <w:bookmarkEnd w:id="8"/>
      <w:bookmarkEnd w:id="9"/>
    </w:p>
    <w:tbl>
      <w:tblPr>
        <w:tblW w:w="0" w:type="auto"/>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4A0" w:firstRow="1" w:lastRow="0" w:firstColumn="1" w:lastColumn="0" w:noHBand="0" w:noVBand="1"/>
      </w:tblPr>
      <w:tblGrid>
        <w:gridCol w:w="1376"/>
        <w:gridCol w:w="1599"/>
        <w:gridCol w:w="4804"/>
      </w:tblGrid>
      <w:tr w:rsidR="00036D51" w:rsidRPr="00036D51" w14:paraId="07A70A59" w14:textId="77777777" w:rsidTr="00036D51">
        <w:tc>
          <w:tcPr>
            <w:tcW w:w="1384" w:type="dxa"/>
            <w:shd w:val="clear" w:color="auto" w:fill="FFFFFF"/>
            <w:vAlign w:val="center"/>
          </w:tcPr>
          <w:p w14:paraId="1532E88D" w14:textId="77777777" w:rsidR="006D270D" w:rsidRPr="00036D51" w:rsidRDefault="006D270D" w:rsidP="00036D51">
            <w:pPr>
              <w:pStyle w:val="Introtext"/>
              <w:spacing w:line="240" w:lineRule="auto"/>
              <w:rPr>
                <w:rFonts w:ascii="Calibri" w:eastAsia="Calibri" w:hAnsi="Calibri"/>
                <w:b/>
                <w:bCs w:val="0"/>
                <w:sz w:val="20"/>
                <w:szCs w:val="20"/>
              </w:rPr>
            </w:pPr>
            <w:bookmarkStart w:id="10" w:name="_Toc146806551"/>
            <w:r w:rsidRPr="00036D51">
              <w:rPr>
                <w:rFonts w:ascii="Calibri" w:hAnsi="Calibri"/>
                <w:b/>
                <w:bCs w:val="0"/>
                <w:sz w:val="20"/>
                <w:szCs w:val="20"/>
              </w:rPr>
              <w:t>Issue/Draft</w:t>
            </w:r>
            <w:bookmarkEnd w:id="10"/>
          </w:p>
        </w:tc>
        <w:tc>
          <w:tcPr>
            <w:tcW w:w="1615" w:type="dxa"/>
            <w:shd w:val="clear" w:color="auto" w:fill="00864A"/>
            <w:vAlign w:val="center"/>
          </w:tcPr>
          <w:p w14:paraId="5D1027B6" w14:textId="77777777" w:rsidR="006D270D" w:rsidRPr="00036D51" w:rsidRDefault="006D270D" w:rsidP="00036D51">
            <w:pPr>
              <w:pStyle w:val="Introtext"/>
              <w:spacing w:line="240" w:lineRule="auto"/>
              <w:rPr>
                <w:rFonts w:ascii="Calibri" w:eastAsia="Calibri" w:hAnsi="Calibri"/>
                <w:b/>
                <w:bCs w:val="0"/>
                <w:color w:val="FFFFFF"/>
                <w:sz w:val="20"/>
                <w:szCs w:val="20"/>
              </w:rPr>
            </w:pPr>
            <w:bookmarkStart w:id="11" w:name="_Toc146806552"/>
            <w:r w:rsidRPr="00036D51">
              <w:rPr>
                <w:rFonts w:ascii="Calibri" w:hAnsi="Calibri"/>
                <w:b/>
                <w:bCs w:val="0"/>
                <w:color w:val="FFFFFF"/>
                <w:sz w:val="20"/>
                <w:szCs w:val="20"/>
              </w:rPr>
              <w:t>Date</w:t>
            </w:r>
            <w:bookmarkEnd w:id="11"/>
          </w:p>
        </w:tc>
        <w:tc>
          <w:tcPr>
            <w:tcW w:w="4906" w:type="dxa"/>
            <w:shd w:val="clear" w:color="auto" w:fill="00864A"/>
            <w:vAlign w:val="center"/>
          </w:tcPr>
          <w:p w14:paraId="4FD05DB0" w14:textId="77777777" w:rsidR="006D270D" w:rsidRPr="00036D51" w:rsidRDefault="006D270D" w:rsidP="00036D51">
            <w:pPr>
              <w:pStyle w:val="Introtext"/>
              <w:spacing w:line="240" w:lineRule="auto"/>
              <w:rPr>
                <w:rFonts w:ascii="Calibri" w:eastAsia="Calibri" w:hAnsi="Calibri"/>
                <w:b/>
                <w:bCs w:val="0"/>
                <w:color w:val="FFFFFF"/>
                <w:sz w:val="20"/>
                <w:szCs w:val="20"/>
              </w:rPr>
            </w:pPr>
            <w:bookmarkStart w:id="12" w:name="_Toc146806553"/>
            <w:r w:rsidRPr="00036D51">
              <w:rPr>
                <w:rFonts w:ascii="Calibri" w:hAnsi="Calibri"/>
                <w:b/>
                <w:bCs w:val="0"/>
                <w:color w:val="FFFFFF"/>
                <w:sz w:val="20"/>
                <w:szCs w:val="20"/>
              </w:rPr>
              <w:t>Comments/Reason for Change</w:t>
            </w:r>
            <w:bookmarkEnd w:id="12"/>
          </w:p>
        </w:tc>
      </w:tr>
      <w:tr w:rsidR="00036D51" w:rsidRPr="00036D51" w14:paraId="13A09C6F" w14:textId="77777777" w:rsidTr="00036D51">
        <w:tc>
          <w:tcPr>
            <w:tcW w:w="1384" w:type="dxa"/>
            <w:shd w:val="clear" w:color="auto" w:fill="00864A"/>
            <w:vAlign w:val="center"/>
          </w:tcPr>
          <w:p w14:paraId="2E44B0E8" w14:textId="77777777" w:rsidR="006D270D" w:rsidRPr="00036D51" w:rsidRDefault="006D270D" w:rsidP="00036D51">
            <w:pPr>
              <w:pStyle w:val="Introtext"/>
              <w:spacing w:line="240" w:lineRule="auto"/>
              <w:rPr>
                <w:rFonts w:ascii="Calibri" w:eastAsia="Calibri" w:hAnsi="Calibri"/>
                <w:b/>
                <w:bCs w:val="0"/>
                <w:color w:val="FFFFFF"/>
                <w:sz w:val="20"/>
                <w:szCs w:val="20"/>
              </w:rPr>
            </w:pPr>
            <w:bookmarkStart w:id="13" w:name="_Toc146806554"/>
            <w:r w:rsidRPr="00036D51">
              <w:rPr>
                <w:rFonts w:ascii="Calibri" w:hAnsi="Calibri"/>
                <w:b/>
                <w:bCs w:val="0"/>
                <w:color w:val="FFFFFF"/>
                <w:sz w:val="20"/>
                <w:szCs w:val="20"/>
              </w:rPr>
              <w:t>Issue 1</w:t>
            </w:r>
            <w:bookmarkEnd w:id="13"/>
          </w:p>
        </w:tc>
        <w:tc>
          <w:tcPr>
            <w:tcW w:w="1615" w:type="dxa"/>
            <w:shd w:val="clear" w:color="auto" w:fill="D9D9D9"/>
            <w:vAlign w:val="center"/>
          </w:tcPr>
          <w:p w14:paraId="1C436D14" w14:textId="77777777" w:rsidR="006D270D" w:rsidRPr="00036D51" w:rsidRDefault="006D270D" w:rsidP="00036D51">
            <w:pPr>
              <w:pStyle w:val="Introtext"/>
              <w:spacing w:line="240" w:lineRule="auto"/>
              <w:rPr>
                <w:rFonts w:ascii="Calibri" w:eastAsia="Calibri" w:hAnsi="Calibri"/>
                <w:sz w:val="20"/>
                <w:szCs w:val="20"/>
              </w:rPr>
            </w:pPr>
            <w:bookmarkStart w:id="14" w:name="_Toc146806555"/>
            <w:r w:rsidRPr="00036D51">
              <w:rPr>
                <w:rFonts w:ascii="Calibri" w:hAnsi="Calibri"/>
                <w:sz w:val="20"/>
                <w:szCs w:val="20"/>
              </w:rPr>
              <w:t>April 2012</w:t>
            </w:r>
            <w:bookmarkEnd w:id="14"/>
          </w:p>
        </w:tc>
        <w:tc>
          <w:tcPr>
            <w:tcW w:w="4906" w:type="dxa"/>
            <w:shd w:val="clear" w:color="auto" w:fill="D9D9D9"/>
            <w:vAlign w:val="center"/>
          </w:tcPr>
          <w:p w14:paraId="61BC65F7" w14:textId="77777777" w:rsidR="006D270D" w:rsidRPr="00036D51" w:rsidRDefault="006D270D" w:rsidP="00036D51">
            <w:pPr>
              <w:pStyle w:val="Introtext"/>
              <w:spacing w:line="240" w:lineRule="auto"/>
              <w:rPr>
                <w:rFonts w:ascii="Calibri" w:eastAsia="Calibri" w:hAnsi="Calibri"/>
                <w:sz w:val="20"/>
                <w:szCs w:val="20"/>
              </w:rPr>
            </w:pPr>
            <w:bookmarkStart w:id="15" w:name="_Toc146806556"/>
            <w:r w:rsidRPr="00036D51">
              <w:rPr>
                <w:rFonts w:ascii="Calibri" w:hAnsi="Calibri"/>
                <w:sz w:val="20"/>
                <w:szCs w:val="20"/>
              </w:rPr>
              <w:t>Initial Issue</w:t>
            </w:r>
            <w:bookmarkEnd w:id="15"/>
          </w:p>
        </w:tc>
      </w:tr>
      <w:tr w:rsidR="00036D51" w:rsidRPr="00036D51" w14:paraId="55411528" w14:textId="77777777" w:rsidTr="00036D51">
        <w:tc>
          <w:tcPr>
            <w:tcW w:w="1384" w:type="dxa"/>
            <w:shd w:val="clear" w:color="auto" w:fill="00864A"/>
            <w:vAlign w:val="center"/>
          </w:tcPr>
          <w:p w14:paraId="139E10CA" w14:textId="77777777" w:rsidR="006D270D" w:rsidRPr="00036D51" w:rsidRDefault="006D270D" w:rsidP="00036D51">
            <w:pPr>
              <w:pStyle w:val="Introtext"/>
              <w:spacing w:line="240" w:lineRule="auto"/>
              <w:rPr>
                <w:rFonts w:ascii="Calibri" w:eastAsia="Calibri" w:hAnsi="Calibri"/>
                <w:b/>
                <w:bCs w:val="0"/>
                <w:color w:val="FFFFFF"/>
                <w:sz w:val="20"/>
                <w:szCs w:val="20"/>
              </w:rPr>
            </w:pPr>
            <w:bookmarkStart w:id="16" w:name="_Toc146806557"/>
            <w:r w:rsidRPr="00036D51">
              <w:rPr>
                <w:rFonts w:ascii="Calibri" w:hAnsi="Calibri"/>
                <w:b/>
                <w:bCs w:val="0"/>
                <w:color w:val="FFFFFF"/>
                <w:sz w:val="20"/>
                <w:szCs w:val="20"/>
              </w:rPr>
              <w:t>Issue 2</w:t>
            </w:r>
            <w:bookmarkEnd w:id="16"/>
          </w:p>
        </w:tc>
        <w:tc>
          <w:tcPr>
            <w:tcW w:w="1615" w:type="dxa"/>
            <w:shd w:val="clear" w:color="auto" w:fill="F2F2F2"/>
            <w:vAlign w:val="center"/>
          </w:tcPr>
          <w:p w14:paraId="31F6CD48" w14:textId="77777777" w:rsidR="006D270D" w:rsidRPr="00036D51" w:rsidRDefault="006D270D" w:rsidP="00036D51">
            <w:pPr>
              <w:pStyle w:val="Introtext"/>
              <w:spacing w:line="240" w:lineRule="auto"/>
              <w:rPr>
                <w:rFonts w:ascii="Calibri" w:eastAsia="Calibri" w:hAnsi="Calibri"/>
                <w:sz w:val="20"/>
                <w:szCs w:val="20"/>
              </w:rPr>
            </w:pPr>
            <w:bookmarkStart w:id="17" w:name="_Toc146806558"/>
            <w:r w:rsidRPr="00036D51">
              <w:rPr>
                <w:rFonts w:ascii="Calibri" w:hAnsi="Calibri"/>
                <w:sz w:val="20"/>
                <w:szCs w:val="20"/>
              </w:rPr>
              <w:t>June 2014</w:t>
            </w:r>
            <w:bookmarkEnd w:id="17"/>
          </w:p>
        </w:tc>
        <w:tc>
          <w:tcPr>
            <w:tcW w:w="4906" w:type="dxa"/>
            <w:shd w:val="clear" w:color="auto" w:fill="F2F2F2"/>
            <w:vAlign w:val="center"/>
          </w:tcPr>
          <w:p w14:paraId="642E09F6" w14:textId="77777777" w:rsidR="006D270D" w:rsidRPr="00036D51" w:rsidRDefault="006D270D" w:rsidP="00036D51">
            <w:pPr>
              <w:pStyle w:val="Introtext"/>
              <w:spacing w:line="240" w:lineRule="auto"/>
              <w:rPr>
                <w:rFonts w:ascii="Calibri" w:eastAsia="Calibri" w:hAnsi="Calibri"/>
                <w:sz w:val="20"/>
                <w:szCs w:val="20"/>
              </w:rPr>
            </w:pPr>
            <w:bookmarkStart w:id="18" w:name="_Toc146806559"/>
            <w:r w:rsidRPr="00036D51">
              <w:rPr>
                <w:rFonts w:ascii="Calibri" w:hAnsi="Calibri"/>
                <w:sz w:val="20"/>
                <w:szCs w:val="20"/>
              </w:rPr>
              <w:t>Changes to control ranges</w:t>
            </w:r>
            <w:bookmarkEnd w:id="18"/>
          </w:p>
        </w:tc>
      </w:tr>
      <w:tr w:rsidR="00036D51" w:rsidRPr="00036D51" w14:paraId="1833AED8" w14:textId="77777777" w:rsidTr="00036D51">
        <w:tc>
          <w:tcPr>
            <w:tcW w:w="1384" w:type="dxa"/>
            <w:shd w:val="clear" w:color="auto" w:fill="00864A"/>
            <w:vAlign w:val="center"/>
          </w:tcPr>
          <w:p w14:paraId="3CD583DC" w14:textId="77777777" w:rsidR="006D270D" w:rsidRPr="00036D51" w:rsidRDefault="006D270D" w:rsidP="00036D51">
            <w:pPr>
              <w:pStyle w:val="Introtext"/>
              <w:spacing w:line="240" w:lineRule="auto"/>
              <w:rPr>
                <w:rFonts w:ascii="Calibri" w:eastAsia="Calibri" w:hAnsi="Calibri"/>
                <w:b/>
                <w:bCs w:val="0"/>
                <w:color w:val="FFFFFF"/>
                <w:sz w:val="20"/>
                <w:szCs w:val="20"/>
              </w:rPr>
            </w:pPr>
            <w:bookmarkStart w:id="19" w:name="_Toc146806560"/>
            <w:r w:rsidRPr="00036D51">
              <w:rPr>
                <w:rFonts w:ascii="Calibri" w:hAnsi="Calibri"/>
                <w:b/>
                <w:bCs w:val="0"/>
                <w:color w:val="FFFFFF"/>
                <w:sz w:val="20"/>
                <w:szCs w:val="20"/>
              </w:rPr>
              <w:t>Issue 3</w:t>
            </w:r>
            <w:bookmarkEnd w:id="19"/>
          </w:p>
        </w:tc>
        <w:tc>
          <w:tcPr>
            <w:tcW w:w="1615" w:type="dxa"/>
            <w:shd w:val="clear" w:color="auto" w:fill="D9D9D9"/>
            <w:vAlign w:val="center"/>
          </w:tcPr>
          <w:p w14:paraId="66307113" w14:textId="77777777" w:rsidR="006D270D" w:rsidRPr="00036D51" w:rsidRDefault="006D270D" w:rsidP="00036D51">
            <w:pPr>
              <w:pStyle w:val="Introtext"/>
              <w:spacing w:line="240" w:lineRule="auto"/>
              <w:rPr>
                <w:rFonts w:ascii="Calibri" w:eastAsia="Calibri" w:hAnsi="Calibri"/>
                <w:sz w:val="20"/>
                <w:szCs w:val="20"/>
              </w:rPr>
            </w:pPr>
            <w:bookmarkStart w:id="20" w:name="_Toc146806561"/>
            <w:r w:rsidRPr="00036D51">
              <w:rPr>
                <w:rFonts w:ascii="Calibri" w:hAnsi="Calibri"/>
                <w:sz w:val="20"/>
                <w:szCs w:val="20"/>
              </w:rPr>
              <w:t>August 2017</w:t>
            </w:r>
            <w:bookmarkEnd w:id="20"/>
          </w:p>
        </w:tc>
        <w:tc>
          <w:tcPr>
            <w:tcW w:w="4906" w:type="dxa"/>
            <w:shd w:val="clear" w:color="auto" w:fill="D9D9D9"/>
            <w:vAlign w:val="center"/>
          </w:tcPr>
          <w:p w14:paraId="6B6EE427" w14:textId="77777777" w:rsidR="006D270D" w:rsidRPr="00036D51" w:rsidRDefault="006D270D" w:rsidP="00036D51">
            <w:pPr>
              <w:pStyle w:val="Introtext"/>
              <w:spacing w:line="240" w:lineRule="auto"/>
              <w:rPr>
                <w:rFonts w:ascii="Calibri" w:eastAsia="Calibri" w:hAnsi="Calibri"/>
                <w:sz w:val="20"/>
                <w:szCs w:val="20"/>
              </w:rPr>
            </w:pPr>
            <w:bookmarkStart w:id="21" w:name="_Toc146806562"/>
            <w:r w:rsidRPr="00036D51">
              <w:rPr>
                <w:rFonts w:ascii="Calibri" w:hAnsi="Calibri"/>
                <w:sz w:val="20"/>
                <w:szCs w:val="20"/>
              </w:rPr>
              <w:t>Introduction of Liability driven investments to DB Scheme</w:t>
            </w:r>
            <w:bookmarkEnd w:id="21"/>
          </w:p>
        </w:tc>
      </w:tr>
      <w:tr w:rsidR="00036D51" w:rsidRPr="00036D51" w14:paraId="2AFA046F" w14:textId="77777777" w:rsidTr="00036D51">
        <w:tc>
          <w:tcPr>
            <w:tcW w:w="1384" w:type="dxa"/>
            <w:shd w:val="clear" w:color="auto" w:fill="00864A"/>
            <w:vAlign w:val="center"/>
          </w:tcPr>
          <w:p w14:paraId="11C765EB" w14:textId="77777777" w:rsidR="00037362" w:rsidRPr="00036D51" w:rsidRDefault="00037362" w:rsidP="00036D51">
            <w:pPr>
              <w:pStyle w:val="Introtext"/>
              <w:spacing w:line="240" w:lineRule="auto"/>
              <w:rPr>
                <w:rFonts w:ascii="Calibri" w:hAnsi="Calibri"/>
                <w:b/>
                <w:bCs w:val="0"/>
                <w:color w:val="FFFFFF"/>
                <w:sz w:val="20"/>
                <w:szCs w:val="20"/>
              </w:rPr>
            </w:pPr>
            <w:bookmarkStart w:id="22" w:name="_Toc146806563"/>
            <w:r w:rsidRPr="00036D51">
              <w:rPr>
                <w:rFonts w:ascii="Calibri" w:hAnsi="Calibri"/>
                <w:b/>
                <w:bCs w:val="0"/>
                <w:color w:val="FFFFFF"/>
                <w:sz w:val="20"/>
                <w:szCs w:val="20"/>
              </w:rPr>
              <w:t>Issue 4</w:t>
            </w:r>
            <w:bookmarkEnd w:id="22"/>
          </w:p>
        </w:tc>
        <w:tc>
          <w:tcPr>
            <w:tcW w:w="1615" w:type="dxa"/>
            <w:shd w:val="clear" w:color="auto" w:fill="F2F2F2"/>
            <w:vAlign w:val="center"/>
          </w:tcPr>
          <w:p w14:paraId="299DACDB" w14:textId="77777777" w:rsidR="00037362" w:rsidRPr="00036D51" w:rsidRDefault="00037362" w:rsidP="00036D51">
            <w:pPr>
              <w:pStyle w:val="Introtext"/>
              <w:spacing w:line="240" w:lineRule="auto"/>
              <w:rPr>
                <w:rFonts w:ascii="Calibri" w:hAnsi="Calibri"/>
                <w:sz w:val="20"/>
                <w:szCs w:val="20"/>
              </w:rPr>
            </w:pPr>
            <w:bookmarkStart w:id="23" w:name="_Toc146806564"/>
            <w:r w:rsidRPr="00036D51">
              <w:rPr>
                <w:rFonts w:ascii="Calibri" w:hAnsi="Calibri"/>
                <w:sz w:val="20"/>
                <w:szCs w:val="20"/>
              </w:rPr>
              <w:t>November 2017</w:t>
            </w:r>
            <w:bookmarkEnd w:id="23"/>
          </w:p>
        </w:tc>
        <w:tc>
          <w:tcPr>
            <w:tcW w:w="4906" w:type="dxa"/>
            <w:shd w:val="clear" w:color="auto" w:fill="F2F2F2"/>
            <w:vAlign w:val="center"/>
          </w:tcPr>
          <w:p w14:paraId="20FD2826" w14:textId="77777777" w:rsidR="0090783A" w:rsidRPr="00036D51" w:rsidRDefault="00037362" w:rsidP="00036D51">
            <w:pPr>
              <w:pStyle w:val="Introtext"/>
              <w:spacing w:line="240" w:lineRule="auto"/>
              <w:rPr>
                <w:rFonts w:ascii="Calibri" w:hAnsi="Calibri"/>
                <w:sz w:val="20"/>
                <w:szCs w:val="20"/>
              </w:rPr>
            </w:pPr>
            <w:bookmarkStart w:id="24" w:name="_Toc146806565"/>
            <w:r w:rsidRPr="00036D51">
              <w:rPr>
                <w:rFonts w:ascii="Calibri" w:hAnsi="Calibri"/>
                <w:sz w:val="20"/>
                <w:szCs w:val="20"/>
              </w:rPr>
              <w:t>New format</w:t>
            </w:r>
            <w:bookmarkEnd w:id="24"/>
          </w:p>
        </w:tc>
      </w:tr>
      <w:tr w:rsidR="00036D51" w:rsidRPr="00036D51" w14:paraId="51FAF37F" w14:textId="77777777" w:rsidTr="00036D51">
        <w:tc>
          <w:tcPr>
            <w:tcW w:w="1384" w:type="dxa"/>
            <w:shd w:val="clear" w:color="auto" w:fill="00864A"/>
            <w:vAlign w:val="center"/>
          </w:tcPr>
          <w:p w14:paraId="5488ECDE" w14:textId="77777777" w:rsidR="0090783A" w:rsidRPr="00036D51" w:rsidRDefault="0090783A" w:rsidP="00036D51">
            <w:pPr>
              <w:pStyle w:val="Introtext"/>
              <w:spacing w:line="240" w:lineRule="auto"/>
              <w:rPr>
                <w:rFonts w:ascii="Calibri" w:hAnsi="Calibri"/>
                <w:b/>
                <w:bCs w:val="0"/>
                <w:color w:val="FFFFFF"/>
                <w:sz w:val="20"/>
                <w:szCs w:val="20"/>
              </w:rPr>
            </w:pPr>
            <w:bookmarkStart w:id="25" w:name="_Toc146806566"/>
            <w:r w:rsidRPr="00036D51">
              <w:rPr>
                <w:rFonts w:ascii="Calibri" w:hAnsi="Calibri"/>
                <w:b/>
                <w:bCs w:val="0"/>
                <w:color w:val="FFFFFF"/>
                <w:sz w:val="20"/>
                <w:szCs w:val="20"/>
              </w:rPr>
              <w:t>Issue 5</w:t>
            </w:r>
            <w:bookmarkEnd w:id="25"/>
          </w:p>
        </w:tc>
        <w:tc>
          <w:tcPr>
            <w:tcW w:w="1615" w:type="dxa"/>
            <w:shd w:val="clear" w:color="auto" w:fill="D9D9D9"/>
            <w:vAlign w:val="center"/>
          </w:tcPr>
          <w:p w14:paraId="23F3D29F" w14:textId="77777777" w:rsidR="0090783A" w:rsidRPr="00036D51" w:rsidRDefault="008D0053" w:rsidP="00036D51">
            <w:pPr>
              <w:pStyle w:val="Introtext"/>
              <w:spacing w:line="240" w:lineRule="auto"/>
              <w:rPr>
                <w:rFonts w:ascii="Calibri" w:hAnsi="Calibri"/>
                <w:sz w:val="20"/>
                <w:szCs w:val="20"/>
              </w:rPr>
            </w:pPr>
            <w:bookmarkStart w:id="26" w:name="_Toc146806567"/>
            <w:r w:rsidRPr="00036D51">
              <w:rPr>
                <w:rFonts w:ascii="Calibri" w:hAnsi="Calibri"/>
                <w:sz w:val="20"/>
                <w:szCs w:val="20"/>
              </w:rPr>
              <w:t xml:space="preserve">August </w:t>
            </w:r>
            <w:r w:rsidR="0090783A" w:rsidRPr="00036D51">
              <w:rPr>
                <w:rFonts w:ascii="Calibri" w:hAnsi="Calibri"/>
                <w:sz w:val="20"/>
                <w:szCs w:val="20"/>
              </w:rPr>
              <w:t>2018</w:t>
            </w:r>
            <w:bookmarkEnd w:id="26"/>
          </w:p>
        </w:tc>
        <w:tc>
          <w:tcPr>
            <w:tcW w:w="4906" w:type="dxa"/>
            <w:shd w:val="clear" w:color="auto" w:fill="D9D9D9"/>
            <w:vAlign w:val="center"/>
          </w:tcPr>
          <w:p w14:paraId="5BE3ECA9" w14:textId="77777777" w:rsidR="0090783A" w:rsidRPr="00036D51" w:rsidRDefault="0090783A" w:rsidP="00036D51">
            <w:pPr>
              <w:pStyle w:val="Introtext"/>
              <w:spacing w:line="240" w:lineRule="auto"/>
              <w:rPr>
                <w:rFonts w:ascii="Calibri" w:hAnsi="Calibri"/>
                <w:sz w:val="20"/>
                <w:szCs w:val="20"/>
              </w:rPr>
            </w:pPr>
            <w:bookmarkStart w:id="27" w:name="_Toc146806568"/>
            <w:r w:rsidRPr="00036D51">
              <w:rPr>
                <w:rFonts w:ascii="Calibri" w:hAnsi="Calibri"/>
                <w:sz w:val="20"/>
                <w:szCs w:val="20"/>
              </w:rPr>
              <w:t xml:space="preserve">New </w:t>
            </w:r>
            <w:r w:rsidR="00036D51" w:rsidRPr="00036D51">
              <w:rPr>
                <w:rFonts w:ascii="Calibri" w:hAnsi="Calibri"/>
                <w:sz w:val="20"/>
                <w:szCs w:val="20"/>
              </w:rPr>
              <w:t>Glide path</w:t>
            </w:r>
            <w:r w:rsidRPr="00036D51">
              <w:rPr>
                <w:rFonts w:ascii="Calibri" w:hAnsi="Calibri"/>
                <w:sz w:val="20"/>
                <w:szCs w:val="20"/>
              </w:rPr>
              <w:t xml:space="preserve"> Strategy added</w:t>
            </w:r>
            <w:r w:rsidR="008D0053" w:rsidRPr="00036D51">
              <w:rPr>
                <w:rFonts w:ascii="Calibri" w:hAnsi="Calibri"/>
                <w:sz w:val="20"/>
                <w:szCs w:val="20"/>
              </w:rPr>
              <w:t xml:space="preserve"> and Platform investment</w:t>
            </w:r>
            <w:bookmarkEnd w:id="27"/>
          </w:p>
        </w:tc>
      </w:tr>
      <w:tr w:rsidR="00036D51" w:rsidRPr="00036D51" w14:paraId="73971E3B" w14:textId="77777777" w:rsidTr="00036D51">
        <w:tc>
          <w:tcPr>
            <w:tcW w:w="1384" w:type="dxa"/>
            <w:shd w:val="clear" w:color="auto" w:fill="00864A"/>
            <w:vAlign w:val="center"/>
          </w:tcPr>
          <w:p w14:paraId="235C42C1" w14:textId="77777777" w:rsidR="00036D51" w:rsidRPr="00036D51" w:rsidRDefault="00036D51" w:rsidP="00036D51">
            <w:pPr>
              <w:pStyle w:val="Introtext"/>
              <w:spacing w:line="240" w:lineRule="auto"/>
              <w:rPr>
                <w:rFonts w:ascii="Calibri" w:hAnsi="Calibri"/>
                <w:b/>
                <w:bCs w:val="0"/>
                <w:color w:val="FFFFFF"/>
                <w:sz w:val="20"/>
                <w:szCs w:val="20"/>
              </w:rPr>
            </w:pPr>
            <w:bookmarkStart w:id="28" w:name="_Toc146806569"/>
            <w:r w:rsidRPr="00036D51">
              <w:rPr>
                <w:rFonts w:ascii="Calibri" w:hAnsi="Calibri"/>
                <w:b/>
                <w:bCs w:val="0"/>
                <w:color w:val="FFFFFF"/>
                <w:sz w:val="20"/>
                <w:szCs w:val="20"/>
              </w:rPr>
              <w:t>Issue 6</w:t>
            </w:r>
            <w:bookmarkEnd w:id="28"/>
          </w:p>
        </w:tc>
        <w:tc>
          <w:tcPr>
            <w:tcW w:w="1615" w:type="dxa"/>
            <w:shd w:val="clear" w:color="auto" w:fill="F2F2F2"/>
            <w:vAlign w:val="center"/>
          </w:tcPr>
          <w:p w14:paraId="2579A402" w14:textId="77777777" w:rsidR="00036D51" w:rsidRPr="00036D51" w:rsidRDefault="007945E4" w:rsidP="00036D51">
            <w:pPr>
              <w:pStyle w:val="Introtext"/>
              <w:spacing w:line="240" w:lineRule="auto"/>
              <w:rPr>
                <w:rFonts w:ascii="Calibri" w:hAnsi="Calibri"/>
                <w:sz w:val="20"/>
                <w:szCs w:val="20"/>
              </w:rPr>
            </w:pPr>
            <w:bookmarkStart w:id="29" w:name="_Toc146806570"/>
            <w:r>
              <w:rPr>
                <w:rFonts w:ascii="Calibri" w:hAnsi="Calibri"/>
                <w:sz w:val="20"/>
                <w:szCs w:val="20"/>
              </w:rPr>
              <w:t>August</w:t>
            </w:r>
            <w:r w:rsidR="00036D51" w:rsidRPr="00036D51">
              <w:rPr>
                <w:rFonts w:ascii="Calibri" w:hAnsi="Calibri"/>
                <w:sz w:val="20"/>
                <w:szCs w:val="20"/>
              </w:rPr>
              <w:t xml:space="preserve"> 2019</w:t>
            </w:r>
            <w:bookmarkEnd w:id="29"/>
          </w:p>
        </w:tc>
        <w:tc>
          <w:tcPr>
            <w:tcW w:w="4906" w:type="dxa"/>
            <w:shd w:val="clear" w:color="auto" w:fill="F2F2F2"/>
            <w:vAlign w:val="center"/>
          </w:tcPr>
          <w:p w14:paraId="4695958D" w14:textId="77777777" w:rsidR="00036D51" w:rsidRPr="00036D51" w:rsidRDefault="00AF1243" w:rsidP="00036D51">
            <w:pPr>
              <w:pStyle w:val="Introtext"/>
              <w:spacing w:line="240" w:lineRule="auto"/>
              <w:rPr>
                <w:rFonts w:ascii="Calibri" w:hAnsi="Calibri"/>
                <w:sz w:val="20"/>
                <w:szCs w:val="20"/>
              </w:rPr>
            </w:pPr>
            <w:bookmarkStart w:id="30" w:name="_Toc146806571"/>
            <w:r>
              <w:rPr>
                <w:rFonts w:ascii="Calibri" w:hAnsi="Calibri"/>
                <w:sz w:val="20"/>
                <w:szCs w:val="20"/>
              </w:rPr>
              <w:t>Environmental</w:t>
            </w:r>
            <w:r w:rsidR="00036D51" w:rsidRPr="00036D51">
              <w:rPr>
                <w:rFonts w:ascii="Calibri" w:hAnsi="Calibri"/>
                <w:sz w:val="20"/>
                <w:szCs w:val="20"/>
              </w:rPr>
              <w:t>, Social and Governance (ESG) requirements</w:t>
            </w:r>
            <w:r w:rsidR="000A2791">
              <w:rPr>
                <w:rFonts w:ascii="Calibri" w:hAnsi="Calibri"/>
                <w:sz w:val="20"/>
                <w:szCs w:val="20"/>
              </w:rPr>
              <w:t xml:space="preserve">, removal of the </w:t>
            </w:r>
            <w:proofErr w:type="spellStart"/>
            <w:r w:rsidR="000A2791">
              <w:rPr>
                <w:rFonts w:ascii="Calibri" w:hAnsi="Calibri"/>
                <w:sz w:val="20"/>
                <w:szCs w:val="20"/>
              </w:rPr>
              <w:t>Myner’s</w:t>
            </w:r>
            <w:proofErr w:type="spellEnd"/>
            <w:r w:rsidR="000A2791">
              <w:rPr>
                <w:rFonts w:ascii="Calibri" w:hAnsi="Calibri"/>
                <w:sz w:val="20"/>
                <w:szCs w:val="20"/>
              </w:rPr>
              <w:t xml:space="preserve"> Investment Principles and inclusion of the Pensions Regulators (TPR) code of best practice</w:t>
            </w:r>
            <w:bookmarkEnd w:id="30"/>
          </w:p>
        </w:tc>
      </w:tr>
      <w:tr w:rsidR="008575C8" w:rsidRPr="00036D51" w14:paraId="329E944F" w14:textId="77777777" w:rsidTr="008575C8">
        <w:tc>
          <w:tcPr>
            <w:tcW w:w="1384" w:type="dxa"/>
            <w:tcBorders>
              <w:top w:val="single" w:sz="6" w:space="0" w:color="FFFFFF"/>
              <w:left w:val="single" w:sz="6" w:space="0" w:color="FFFFFF"/>
              <w:bottom w:val="single" w:sz="6" w:space="0" w:color="FFFFFF"/>
              <w:right w:val="single" w:sz="6" w:space="0" w:color="FFFFFF"/>
            </w:tcBorders>
            <w:shd w:val="clear" w:color="auto" w:fill="00864A"/>
            <w:vAlign w:val="center"/>
          </w:tcPr>
          <w:p w14:paraId="076FBFBD" w14:textId="77777777" w:rsidR="008575C8" w:rsidRPr="00036D51" w:rsidRDefault="008575C8" w:rsidP="008942FC">
            <w:pPr>
              <w:pStyle w:val="Introtext"/>
              <w:spacing w:line="240" w:lineRule="auto"/>
              <w:rPr>
                <w:rFonts w:ascii="Calibri" w:hAnsi="Calibri"/>
                <w:b/>
                <w:bCs w:val="0"/>
                <w:color w:val="FFFFFF"/>
                <w:sz w:val="20"/>
                <w:szCs w:val="20"/>
              </w:rPr>
            </w:pPr>
            <w:bookmarkStart w:id="31" w:name="_Toc146806572"/>
            <w:r>
              <w:rPr>
                <w:rFonts w:ascii="Calibri" w:hAnsi="Calibri"/>
                <w:b/>
                <w:bCs w:val="0"/>
                <w:color w:val="FFFFFF"/>
                <w:sz w:val="20"/>
                <w:szCs w:val="20"/>
              </w:rPr>
              <w:t>Issue 7</w:t>
            </w:r>
            <w:bookmarkEnd w:id="31"/>
          </w:p>
        </w:tc>
        <w:tc>
          <w:tcPr>
            <w:tcW w:w="1615" w:type="dxa"/>
            <w:tcBorders>
              <w:top w:val="single" w:sz="6" w:space="0" w:color="FFFFFF"/>
              <w:left w:val="single" w:sz="6" w:space="0" w:color="FFFFFF"/>
              <w:bottom w:val="single" w:sz="6" w:space="0" w:color="FFFFFF"/>
              <w:right w:val="single" w:sz="6" w:space="0" w:color="FFFFFF"/>
            </w:tcBorders>
            <w:shd w:val="clear" w:color="auto" w:fill="F2F2F2"/>
            <w:vAlign w:val="center"/>
          </w:tcPr>
          <w:p w14:paraId="651B6457" w14:textId="34990995" w:rsidR="008575C8" w:rsidRPr="00036D51" w:rsidRDefault="00756747" w:rsidP="008942FC">
            <w:pPr>
              <w:pStyle w:val="Introtext"/>
              <w:spacing w:line="240" w:lineRule="auto"/>
              <w:rPr>
                <w:rFonts w:ascii="Calibri" w:hAnsi="Calibri"/>
                <w:sz w:val="20"/>
                <w:szCs w:val="20"/>
              </w:rPr>
            </w:pPr>
            <w:bookmarkStart w:id="32" w:name="_Toc146806573"/>
            <w:r>
              <w:rPr>
                <w:rFonts w:ascii="Calibri" w:hAnsi="Calibri"/>
                <w:sz w:val="20"/>
                <w:szCs w:val="20"/>
              </w:rPr>
              <w:t>September</w:t>
            </w:r>
            <w:r w:rsidR="008575C8">
              <w:rPr>
                <w:rFonts w:ascii="Calibri" w:hAnsi="Calibri"/>
                <w:sz w:val="20"/>
                <w:szCs w:val="20"/>
              </w:rPr>
              <w:t xml:space="preserve"> 2020</w:t>
            </w:r>
            <w:bookmarkEnd w:id="32"/>
          </w:p>
        </w:tc>
        <w:tc>
          <w:tcPr>
            <w:tcW w:w="4906" w:type="dxa"/>
            <w:tcBorders>
              <w:top w:val="single" w:sz="6" w:space="0" w:color="FFFFFF"/>
              <w:left w:val="single" w:sz="6" w:space="0" w:color="FFFFFF"/>
              <w:bottom w:val="single" w:sz="6" w:space="0" w:color="FFFFFF"/>
              <w:right w:val="single" w:sz="6" w:space="0" w:color="FFFFFF"/>
            </w:tcBorders>
            <w:shd w:val="clear" w:color="auto" w:fill="F2F2F2"/>
            <w:vAlign w:val="center"/>
          </w:tcPr>
          <w:p w14:paraId="66E53DA9" w14:textId="77777777" w:rsidR="008575C8" w:rsidRDefault="008575C8" w:rsidP="008575C8">
            <w:pPr>
              <w:pStyle w:val="Introtext"/>
              <w:rPr>
                <w:rFonts w:ascii="Calibri" w:hAnsi="Calibri"/>
                <w:sz w:val="20"/>
                <w:szCs w:val="20"/>
              </w:rPr>
            </w:pPr>
            <w:bookmarkStart w:id="33" w:name="_Toc49344747"/>
            <w:bookmarkStart w:id="34" w:name="_Toc146806574"/>
            <w:r>
              <w:rPr>
                <w:rFonts w:ascii="Calibri" w:hAnsi="Calibri"/>
                <w:sz w:val="20"/>
                <w:szCs w:val="20"/>
              </w:rPr>
              <w:t>Updated to reflect B</w:t>
            </w:r>
            <w:r w:rsidR="00974109">
              <w:rPr>
                <w:rFonts w:ascii="Calibri" w:hAnsi="Calibri"/>
                <w:sz w:val="20"/>
                <w:szCs w:val="20"/>
              </w:rPr>
              <w:t xml:space="preserve">uy </w:t>
            </w:r>
            <w:r>
              <w:rPr>
                <w:rFonts w:ascii="Calibri" w:hAnsi="Calibri"/>
                <w:sz w:val="20"/>
                <w:szCs w:val="20"/>
              </w:rPr>
              <w:t>in/out of DB section of the Scheme, amended investment strategy and name change</w:t>
            </w:r>
            <w:r w:rsidR="00085A01">
              <w:rPr>
                <w:rFonts w:ascii="Calibri" w:hAnsi="Calibri"/>
                <w:sz w:val="20"/>
                <w:szCs w:val="20"/>
              </w:rPr>
              <w:t>.</w:t>
            </w:r>
            <w:bookmarkEnd w:id="33"/>
            <w:bookmarkEnd w:id="34"/>
            <w:r w:rsidR="00085A01">
              <w:rPr>
                <w:rFonts w:ascii="Calibri" w:hAnsi="Calibri"/>
                <w:sz w:val="20"/>
                <w:szCs w:val="20"/>
              </w:rPr>
              <w:t xml:space="preserve"> </w:t>
            </w:r>
          </w:p>
          <w:p w14:paraId="037B775B" w14:textId="77777777" w:rsidR="008575C8" w:rsidRPr="000F2456" w:rsidRDefault="00085A01" w:rsidP="000F2456">
            <w:pPr>
              <w:pStyle w:val="Introtext"/>
              <w:rPr>
                <w:rFonts w:ascii="Calibri" w:eastAsia="Calibri" w:hAnsi="Calibri"/>
                <w:sz w:val="22"/>
                <w:szCs w:val="22"/>
              </w:rPr>
            </w:pPr>
            <w:bookmarkStart w:id="35" w:name="_Toc49344748"/>
            <w:bookmarkStart w:id="36" w:name="_Toc146806575"/>
            <w:r>
              <w:rPr>
                <w:rFonts w:ascii="Calibri" w:hAnsi="Calibri"/>
                <w:sz w:val="20"/>
                <w:szCs w:val="20"/>
              </w:rPr>
              <w:t>Additional regulatory updates relating to arrangements with the Investment Manager (including remuneration, incentives and long-term objectives). A note of portfolio turnover costs has also been included.</w:t>
            </w:r>
            <w:bookmarkEnd w:id="35"/>
            <w:bookmarkEnd w:id="36"/>
            <w:r>
              <w:rPr>
                <w:rFonts w:ascii="Calibri" w:hAnsi="Calibri"/>
                <w:sz w:val="20"/>
                <w:szCs w:val="20"/>
              </w:rPr>
              <w:t xml:space="preserve"> </w:t>
            </w:r>
          </w:p>
        </w:tc>
      </w:tr>
      <w:tr w:rsidR="00905A13" w:rsidRPr="00036D51" w14:paraId="2A666AFC" w14:textId="77777777" w:rsidTr="008575C8">
        <w:tc>
          <w:tcPr>
            <w:tcW w:w="1384" w:type="dxa"/>
            <w:tcBorders>
              <w:top w:val="single" w:sz="6" w:space="0" w:color="FFFFFF"/>
              <w:left w:val="single" w:sz="6" w:space="0" w:color="FFFFFF"/>
              <w:bottom w:val="single" w:sz="6" w:space="0" w:color="FFFFFF"/>
              <w:right w:val="single" w:sz="6" w:space="0" w:color="FFFFFF"/>
            </w:tcBorders>
            <w:shd w:val="clear" w:color="auto" w:fill="00864A"/>
            <w:vAlign w:val="center"/>
          </w:tcPr>
          <w:p w14:paraId="5B8FF914" w14:textId="462C8966" w:rsidR="00905A13" w:rsidRDefault="00905A13" w:rsidP="008942FC">
            <w:pPr>
              <w:pStyle w:val="Introtext"/>
              <w:spacing w:line="240" w:lineRule="auto"/>
              <w:rPr>
                <w:rFonts w:ascii="Calibri" w:hAnsi="Calibri"/>
                <w:b/>
                <w:bCs w:val="0"/>
                <w:color w:val="FFFFFF"/>
                <w:sz w:val="20"/>
                <w:szCs w:val="20"/>
              </w:rPr>
            </w:pPr>
            <w:bookmarkStart w:id="37" w:name="_Toc146806576"/>
            <w:r>
              <w:rPr>
                <w:rFonts w:ascii="Calibri" w:hAnsi="Calibri"/>
                <w:b/>
                <w:bCs w:val="0"/>
                <w:color w:val="FFFFFF"/>
                <w:sz w:val="20"/>
                <w:szCs w:val="20"/>
              </w:rPr>
              <w:t>Issue 8</w:t>
            </w:r>
            <w:bookmarkEnd w:id="37"/>
          </w:p>
        </w:tc>
        <w:tc>
          <w:tcPr>
            <w:tcW w:w="1615" w:type="dxa"/>
            <w:tcBorders>
              <w:top w:val="single" w:sz="6" w:space="0" w:color="FFFFFF"/>
              <w:left w:val="single" w:sz="6" w:space="0" w:color="FFFFFF"/>
              <w:bottom w:val="single" w:sz="6" w:space="0" w:color="FFFFFF"/>
              <w:right w:val="single" w:sz="6" w:space="0" w:color="FFFFFF"/>
            </w:tcBorders>
            <w:shd w:val="clear" w:color="auto" w:fill="F2F2F2"/>
            <w:vAlign w:val="center"/>
          </w:tcPr>
          <w:p w14:paraId="3D5353A6" w14:textId="4ADC2715" w:rsidR="00905A13" w:rsidRDefault="00D676D3" w:rsidP="008942FC">
            <w:pPr>
              <w:pStyle w:val="Introtext"/>
              <w:spacing w:line="240" w:lineRule="auto"/>
              <w:rPr>
                <w:rFonts w:ascii="Calibri" w:hAnsi="Calibri"/>
                <w:sz w:val="20"/>
                <w:szCs w:val="20"/>
              </w:rPr>
            </w:pPr>
            <w:bookmarkStart w:id="38" w:name="_Toc146806577"/>
            <w:r>
              <w:rPr>
                <w:rFonts w:ascii="Calibri" w:hAnsi="Calibri"/>
                <w:sz w:val="20"/>
                <w:szCs w:val="20"/>
              </w:rPr>
              <w:t>September</w:t>
            </w:r>
            <w:r w:rsidR="00905A13">
              <w:rPr>
                <w:rFonts w:ascii="Calibri" w:hAnsi="Calibri"/>
                <w:sz w:val="20"/>
                <w:szCs w:val="20"/>
              </w:rPr>
              <w:t xml:space="preserve"> 2023</w:t>
            </w:r>
            <w:bookmarkEnd w:id="38"/>
          </w:p>
        </w:tc>
        <w:tc>
          <w:tcPr>
            <w:tcW w:w="4906" w:type="dxa"/>
            <w:tcBorders>
              <w:top w:val="single" w:sz="6" w:space="0" w:color="FFFFFF"/>
              <w:left w:val="single" w:sz="6" w:space="0" w:color="FFFFFF"/>
              <w:bottom w:val="single" w:sz="6" w:space="0" w:color="FFFFFF"/>
              <w:right w:val="single" w:sz="6" w:space="0" w:color="FFFFFF"/>
            </w:tcBorders>
            <w:shd w:val="clear" w:color="auto" w:fill="F2F2F2"/>
            <w:vAlign w:val="center"/>
          </w:tcPr>
          <w:p w14:paraId="40BCE9E9" w14:textId="7688FF53" w:rsidR="00905A13" w:rsidRDefault="00905A13" w:rsidP="008575C8">
            <w:pPr>
              <w:pStyle w:val="Introtext"/>
              <w:rPr>
                <w:rFonts w:ascii="Calibri" w:hAnsi="Calibri"/>
                <w:sz w:val="20"/>
                <w:szCs w:val="20"/>
              </w:rPr>
            </w:pPr>
            <w:bookmarkStart w:id="39" w:name="_Toc146806578"/>
            <w:r>
              <w:rPr>
                <w:rFonts w:ascii="Calibri" w:hAnsi="Calibri"/>
                <w:sz w:val="20"/>
                <w:szCs w:val="20"/>
              </w:rPr>
              <w:t>Removal of the Defined Contribution Section from Statement of Investment Principles – September 2020</w:t>
            </w:r>
            <w:bookmarkEnd w:id="39"/>
          </w:p>
        </w:tc>
      </w:tr>
    </w:tbl>
    <w:p w14:paraId="7F575C7E" w14:textId="77777777" w:rsidR="00CA38D2" w:rsidRDefault="00CA38D2">
      <w:pPr>
        <w:pStyle w:val="TOCHeading"/>
        <w:rPr>
          <w:rStyle w:val="Heading1Char"/>
          <w:rFonts w:hint="eastAsia"/>
        </w:rPr>
      </w:pPr>
      <w:bookmarkStart w:id="40" w:name="_Toc49344749"/>
    </w:p>
    <w:p w14:paraId="4E575116" w14:textId="77777777" w:rsidR="00CA38D2" w:rsidRDefault="00CA38D2">
      <w:pPr>
        <w:spacing w:after="0" w:line="240" w:lineRule="auto"/>
        <w:rPr>
          <w:rStyle w:val="Heading1Char"/>
          <w:rFonts w:hint="eastAsia"/>
          <w:b w:val="0"/>
          <w:bCs w:val="0"/>
          <w:lang w:eastAsia="ja-JP"/>
        </w:rPr>
      </w:pPr>
      <w:r>
        <w:rPr>
          <w:rStyle w:val="Heading1Char"/>
          <w:rFonts w:hint="eastAsia"/>
        </w:rPr>
        <w:br w:type="page"/>
      </w:r>
    </w:p>
    <w:p w14:paraId="08AC61A9" w14:textId="558444FC" w:rsidR="002D3ADC" w:rsidRPr="00B81D3D" w:rsidRDefault="002D3ADC">
      <w:pPr>
        <w:pStyle w:val="TOCHeading"/>
        <w:rPr>
          <w:rStyle w:val="Heading1Char"/>
          <w:rFonts w:hint="eastAsia"/>
        </w:rPr>
      </w:pPr>
      <w:bookmarkStart w:id="41" w:name="_Toc146806579"/>
      <w:r w:rsidRPr="00B81D3D">
        <w:rPr>
          <w:rStyle w:val="Heading1Char"/>
        </w:rPr>
        <w:t>Contents</w:t>
      </w:r>
      <w:bookmarkEnd w:id="40"/>
      <w:bookmarkEnd w:id="41"/>
    </w:p>
    <w:p w14:paraId="79055CED" w14:textId="6C877FC3" w:rsidR="00277A25" w:rsidRDefault="002D3ADC">
      <w:pPr>
        <w:pStyle w:val="TOC1"/>
        <w:tabs>
          <w:tab w:val="right" w:leader="dot" w:pos="7785"/>
        </w:tabs>
        <w:rPr>
          <w:rFonts w:asciiTheme="minorHAnsi" w:eastAsiaTheme="minorEastAsia" w:hAnsiTheme="minorHAnsi" w:cstheme="minorBidi"/>
          <w:noProof/>
          <w:color w:val="auto"/>
          <w:lang w:eastAsia="en-GB"/>
        </w:rPr>
      </w:pPr>
      <w:r>
        <w:fldChar w:fldCharType="begin"/>
      </w:r>
      <w:r>
        <w:instrText xml:space="preserve"> TOC \o "1-3" \h \z \u </w:instrText>
      </w:r>
      <w:r>
        <w:fldChar w:fldCharType="separate"/>
      </w:r>
    </w:p>
    <w:p w14:paraId="360FD291" w14:textId="5B406FAD" w:rsidR="00277A25" w:rsidRDefault="00277A25">
      <w:pPr>
        <w:pStyle w:val="TOC1"/>
        <w:tabs>
          <w:tab w:val="left" w:pos="440"/>
          <w:tab w:val="right" w:leader="dot" w:pos="7785"/>
        </w:tabs>
        <w:rPr>
          <w:rFonts w:asciiTheme="minorHAnsi" w:eastAsiaTheme="minorEastAsia" w:hAnsiTheme="minorHAnsi" w:cstheme="minorBidi"/>
          <w:noProof/>
          <w:color w:val="auto"/>
          <w:lang w:eastAsia="en-GB"/>
        </w:rPr>
      </w:pPr>
      <w:hyperlink w:anchor="_Toc146806580" w:history="1">
        <w:r w:rsidRPr="00C25B27">
          <w:rPr>
            <w:rStyle w:val="Hyperlink"/>
            <w:noProof/>
          </w:rPr>
          <w:t>1.</w:t>
        </w:r>
        <w:r>
          <w:rPr>
            <w:rFonts w:asciiTheme="minorHAnsi" w:eastAsiaTheme="minorEastAsia" w:hAnsiTheme="minorHAnsi" w:cstheme="minorBidi"/>
            <w:noProof/>
            <w:color w:val="auto"/>
            <w:lang w:eastAsia="en-GB"/>
          </w:rPr>
          <w:tab/>
        </w:r>
        <w:r w:rsidRPr="00C25B27">
          <w:rPr>
            <w:rStyle w:val="Hyperlink"/>
            <w:noProof/>
          </w:rPr>
          <w:t>Introduction</w:t>
        </w:r>
        <w:r>
          <w:rPr>
            <w:noProof/>
            <w:webHidden/>
          </w:rPr>
          <w:tab/>
        </w:r>
        <w:r>
          <w:rPr>
            <w:noProof/>
            <w:webHidden/>
          </w:rPr>
          <w:fldChar w:fldCharType="begin"/>
        </w:r>
        <w:r>
          <w:rPr>
            <w:noProof/>
            <w:webHidden/>
          </w:rPr>
          <w:instrText xml:space="preserve"> PAGEREF _Toc146806580 \h </w:instrText>
        </w:r>
        <w:r>
          <w:rPr>
            <w:noProof/>
            <w:webHidden/>
          </w:rPr>
        </w:r>
        <w:r>
          <w:rPr>
            <w:noProof/>
            <w:webHidden/>
          </w:rPr>
          <w:fldChar w:fldCharType="separate"/>
        </w:r>
        <w:r>
          <w:rPr>
            <w:noProof/>
            <w:webHidden/>
          </w:rPr>
          <w:t>3</w:t>
        </w:r>
        <w:r>
          <w:rPr>
            <w:noProof/>
            <w:webHidden/>
          </w:rPr>
          <w:fldChar w:fldCharType="end"/>
        </w:r>
      </w:hyperlink>
    </w:p>
    <w:p w14:paraId="180DCA5D" w14:textId="6833F6C7" w:rsidR="00277A25" w:rsidRDefault="00277A25">
      <w:pPr>
        <w:pStyle w:val="TOC1"/>
        <w:tabs>
          <w:tab w:val="left" w:pos="440"/>
          <w:tab w:val="right" w:leader="dot" w:pos="7785"/>
        </w:tabs>
        <w:rPr>
          <w:rFonts w:asciiTheme="minorHAnsi" w:eastAsiaTheme="minorEastAsia" w:hAnsiTheme="minorHAnsi" w:cstheme="minorBidi"/>
          <w:noProof/>
          <w:color w:val="auto"/>
          <w:lang w:eastAsia="en-GB"/>
        </w:rPr>
      </w:pPr>
      <w:hyperlink w:anchor="_Toc146806581" w:history="1">
        <w:r w:rsidRPr="00C25B27">
          <w:rPr>
            <w:rStyle w:val="Hyperlink"/>
            <w:noProof/>
          </w:rPr>
          <w:t>2.</w:t>
        </w:r>
        <w:r>
          <w:rPr>
            <w:rFonts w:asciiTheme="minorHAnsi" w:eastAsiaTheme="minorEastAsia" w:hAnsiTheme="minorHAnsi" w:cstheme="minorBidi"/>
            <w:noProof/>
            <w:color w:val="auto"/>
            <w:lang w:eastAsia="en-GB"/>
          </w:rPr>
          <w:tab/>
        </w:r>
        <w:r w:rsidRPr="00C25B27">
          <w:rPr>
            <w:rStyle w:val="Hyperlink"/>
            <w:noProof/>
          </w:rPr>
          <w:t>Investment Responsibilities</w:t>
        </w:r>
        <w:r>
          <w:rPr>
            <w:noProof/>
            <w:webHidden/>
          </w:rPr>
          <w:tab/>
        </w:r>
        <w:r>
          <w:rPr>
            <w:noProof/>
            <w:webHidden/>
          </w:rPr>
          <w:fldChar w:fldCharType="begin"/>
        </w:r>
        <w:r>
          <w:rPr>
            <w:noProof/>
            <w:webHidden/>
          </w:rPr>
          <w:instrText xml:space="preserve"> PAGEREF _Toc146806581 \h </w:instrText>
        </w:r>
        <w:r>
          <w:rPr>
            <w:noProof/>
            <w:webHidden/>
          </w:rPr>
        </w:r>
        <w:r>
          <w:rPr>
            <w:noProof/>
            <w:webHidden/>
          </w:rPr>
          <w:fldChar w:fldCharType="separate"/>
        </w:r>
        <w:r>
          <w:rPr>
            <w:noProof/>
            <w:webHidden/>
          </w:rPr>
          <w:t>4</w:t>
        </w:r>
        <w:r>
          <w:rPr>
            <w:noProof/>
            <w:webHidden/>
          </w:rPr>
          <w:fldChar w:fldCharType="end"/>
        </w:r>
      </w:hyperlink>
    </w:p>
    <w:p w14:paraId="64190269" w14:textId="099268DA" w:rsidR="00277A25" w:rsidRDefault="00277A25">
      <w:pPr>
        <w:pStyle w:val="TOC1"/>
        <w:tabs>
          <w:tab w:val="left" w:pos="440"/>
          <w:tab w:val="right" w:leader="dot" w:pos="7785"/>
        </w:tabs>
        <w:rPr>
          <w:rFonts w:asciiTheme="minorHAnsi" w:eastAsiaTheme="minorEastAsia" w:hAnsiTheme="minorHAnsi" w:cstheme="minorBidi"/>
          <w:noProof/>
          <w:color w:val="auto"/>
          <w:lang w:eastAsia="en-GB"/>
        </w:rPr>
      </w:pPr>
      <w:hyperlink w:anchor="_Toc146806582" w:history="1">
        <w:r w:rsidRPr="00C25B27">
          <w:rPr>
            <w:rStyle w:val="Hyperlink"/>
            <w:noProof/>
          </w:rPr>
          <w:t>3.</w:t>
        </w:r>
        <w:r>
          <w:rPr>
            <w:rFonts w:asciiTheme="minorHAnsi" w:eastAsiaTheme="minorEastAsia" w:hAnsiTheme="minorHAnsi" w:cstheme="minorBidi"/>
            <w:noProof/>
            <w:color w:val="auto"/>
            <w:lang w:eastAsia="en-GB"/>
          </w:rPr>
          <w:tab/>
        </w:r>
        <w:r w:rsidRPr="00C25B27">
          <w:rPr>
            <w:rStyle w:val="Hyperlink"/>
            <w:noProof/>
          </w:rPr>
          <w:t>Investment Decisions</w:t>
        </w:r>
        <w:r>
          <w:rPr>
            <w:noProof/>
            <w:webHidden/>
          </w:rPr>
          <w:tab/>
        </w:r>
        <w:r>
          <w:rPr>
            <w:noProof/>
            <w:webHidden/>
          </w:rPr>
          <w:fldChar w:fldCharType="begin"/>
        </w:r>
        <w:r>
          <w:rPr>
            <w:noProof/>
            <w:webHidden/>
          </w:rPr>
          <w:instrText xml:space="preserve"> PAGEREF _Toc146806582 \h </w:instrText>
        </w:r>
        <w:r>
          <w:rPr>
            <w:noProof/>
            <w:webHidden/>
          </w:rPr>
        </w:r>
        <w:r>
          <w:rPr>
            <w:noProof/>
            <w:webHidden/>
          </w:rPr>
          <w:fldChar w:fldCharType="separate"/>
        </w:r>
        <w:r>
          <w:rPr>
            <w:noProof/>
            <w:webHidden/>
          </w:rPr>
          <w:t>7</w:t>
        </w:r>
        <w:r>
          <w:rPr>
            <w:noProof/>
            <w:webHidden/>
          </w:rPr>
          <w:fldChar w:fldCharType="end"/>
        </w:r>
      </w:hyperlink>
    </w:p>
    <w:p w14:paraId="43E56DA2" w14:textId="67FE356A" w:rsidR="00277A25" w:rsidRDefault="00277A25">
      <w:pPr>
        <w:pStyle w:val="TOC2"/>
        <w:tabs>
          <w:tab w:val="right" w:leader="dot" w:pos="7785"/>
        </w:tabs>
        <w:rPr>
          <w:rFonts w:asciiTheme="minorHAnsi" w:eastAsiaTheme="minorEastAsia" w:hAnsiTheme="minorHAnsi" w:cstheme="minorBidi"/>
          <w:noProof/>
          <w:color w:val="auto"/>
          <w:lang w:eastAsia="en-GB"/>
        </w:rPr>
      </w:pPr>
      <w:hyperlink w:anchor="_Toc146806584" w:history="1">
        <w:r w:rsidRPr="00C25B27">
          <w:rPr>
            <w:rStyle w:val="Hyperlink"/>
            <w:noProof/>
          </w:rPr>
          <w:t>Strategic Investment Decisions</w:t>
        </w:r>
        <w:r>
          <w:rPr>
            <w:noProof/>
            <w:webHidden/>
          </w:rPr>
          <w:tab/>
        </w:r>
        <w:r>
          <w:rPr>
            <w:noProof/>
            <w:webHidden/>
          </w:rPr>
          <w:fldChar w:fldCharType="begin"/>
        </w:r>
        <w:r>
          <w:rPr>
            <w:noProof/>
            <w:webHidden/>
          </w:rPr>
          <w:instrText xml:space="preserve"> PAGEREF _Toc146806584 \h </w:instrText>
        </w:r>
        <w:r>
          <w:rPr>
            <w:noProof/>
            <w:webHidden/>
          </w:rPr>
        </w:r>
        <w:r>
          <w:rPr>
            <w:noProof/>
            <w:webHidden/>
          </w:rPr>
          <w:fldChar w:fldCharType="separate"/>
        </w:r>
        <w:r>
          <w:rPr>
            <w:noProof/>
            <w:webHidden/>
          </w:rPr>
          <w:t>7</w:t>
        </w:r>
        <w:r>
          <w:rPr>
            <w:noProof/>
            <w:webHidden/>
          </w:rPr>
          <w:fldChar w:fldCharType="end"/>
        </w:r>
      </w:hyperlink>
    </w:p>
    <w:p w14:paraId="53ABC634" w14:textId="1AFC6509" w:rsidR="00277A25" w:rsidRDefault="00277A25">
      <w:pPr>
        <w:pStyle w:val="TOC2"/>
        <w:tabs>
          <w:tab w:val="right" w:leader="dot" w:pos="7785"/>
        </w:tabs>
        <w:rPr>
          <w:rFonts w:asciiTheme="minorHAnsi" w:eastAsiaTheme="minorEastAsia" w:hAnsiTheme="minorHAnsi" w:cstheme="minorBidi"/>
          <w:noProof/>
          <w:color w:val="auto"/>
          <w:lang w:eastAsia="en-GB"/>
        </w:rPr>
      </w:pPr>
      <w:hyperlink w:anchor="_Toc146806585" w:history="1">
        <w:r w:rsidRPr="00C25B27">
          <w:rPr>
            <w:rStyle w:val="Hyperlink"/>
            <w:noProof/>
          </w:rPr>
          <w:t>Tactical investment decisions</w:t>
        </w:r>
        <w:r>
          <w:rPr>
            <w:noProof/>
            <w:webHidden/>
          </w:rPr>
          <w:tab/>
        </w:r>
        <w:r>
          <w:rPr>
            <w:noProof/>
            <w:webHidden/>
          </w:rPr>
          <w:fldChar w:fldCharType="begin"/>
        </w:r>
        <w:r>
          <w:rPr>
            <w:noProof/>
            <w:webHidden/>
          </w:rPr>
          <w:instrText xml:space="preserve"> PAGEREF _Toc146806585 \h </w:instrText>
        </w:r>
        <w:r>
          <w:rPr>
            <w:noProof/>
            <w:webHidden/>
          </w:rPr>
        </w:r>
        <w:r>
          <w:rPr>
            <w:noProof/>
            <w:webHidden/>
          </w:rPr>
          <w:fldChar w:fldCharType="separate"/>
        </w:r>
        <w:r>
          <w:rPr>
            <w:noProof/>
            <w:webHidden/>
          </w:rPr>
          <w:t>7</w:t>
        </w:r>
        <w:r>
          <w:rPr>
            <w:noProof/>
            <w:webHidden/>
          </w:rPr>
          <w:fldChar w:fldCharType="end"/>
        </w:r>
      </w:hyperlink>
    </w:p>
    <w:p w14:paraId="7FDF975F" w14:textId="69743B47" w:rsidR="00277A25" w:rsidRDefault="00277A25">
      <w:pPr>
        <w:pStyle w:val="TOC1"/>
        <w:tabs>
          <w:tab w:val="left" w:pos="440"/>
          <w:tab w:val="right" w:leader="dot" w:pos="7785"/>
        </w:tabs>
        <w:rPr>
          <w:rFonts w:asciiTheme="minorHAnsi" w:eastAsiaTheme="minorEastAsia" w:hAnsiTheme="minorHAnsi" w:cstheme="minorBidi"/>
          <w:noProof/>
          <w:color w:val="auto"/>
          <w:lang w:eastAsia="en-GB"/>
        </w:rPr>
      </w:pPr>
      <w:hyperlink w:anchor="_Toc146806586" w:history="1">
        <w:r w:rsidRPr="00C25B27">
          <w:rPr>
            <w:rStyle w:val="Hyperlink"/>
            <w:noProof/>
          </w:rPr>
          <w:t>4.</w:t>
        </w:r>
        <w:r>
          <w:rPr>
            <w:rFonts w:asciiTheme="minorHAnsi" w:eastAsiaTheme="minorEastAsia" w:hAnsiTheme="minorHAnsi" w:cstheme="minorBidi"/>
            <w:noProof/>
            <w:color w:val="auto"/>
            <w:lang w:eastAsia="en-GB"/>
          </w:rPr>
          <w:tab/>
        </w:r>
        <w:r w:rsidRPr="00C25B27">
          <w:rPr>
            <w:rStyle w:val="Hyperlink"/>
            <w:noProof/>
          </w:rPr>
          <w:t>Investment Objectives</w:t>
        </w:r>
        <w:r>
          <w:rPr>
            <w:noProof/>
            <w:webHidden/>
          </w:rPr>
          <w:tab/>
        </w:r>
        <w:r>
          <w:rPr>
            <w:noProof/>
            <w:webHidden/>
          </w:rPr>
          <w:fldChar w:fldCharType="begin"/>
        </w:r>
        <w:r>
          <w:rPr>
            <w:noProof/>
            <w:webHidden/>
          </w:rPr>
          <w:instrText xml:space="preserve"> PAGEREF _Toc146806586 \h </w:instrText>
        </w:r>
        <w:r>
          <w:rPr>
            <w:noProof/>
            <w:webHidden/>
          </w:rPr>
        </w:r>
        <w:r>
          <w:rPr>
            <w:noProof/>
            <w:webHidden/>
          </w:rPr>
          <w:fldChar w:fldCharType="separate"/>
        </w:r>
        <w:r>
          <w:rPr>
            <w:noProof/>
            <w:webHidden/>
          </w:rPr>
          <w:t>9</w:t>
        </w:r>
        <w:r>
          <w:rPr>
            <w:noProof/>
            <w:webHidden/>
          </w:rPr>
          <w:fldChar w:fldCharType="end"/>
        </w:r>
      </w:hyperlink>
    </w:p>
    <w:p w14:paraId="3FBF1996" w14:textId="1279B898" w:rsidR="00277A25" w:rsidRDefault="00277A25">
      <w:pPr>
        <w:pStyle w:val="TOC1"/>
        <w:tabs>
          <w:tab w:val="left" w:pos="440"/>
          <w:tab w:val="right" w:leader="dot" w:pos="7785"/>
        </w:tabs>
        <w:rPr>
          <w:rFonts w:asciiTheme="minorHAnsi" w:eastAsiaTheme="minorEastAsia" w:hAnsiTheme="minorHAnsi" w:cstheme="minorBidi"/>
          <w:noProof/>
          <w:color w:val="auto"/>
          <w:lang w:eastAsia="en-GB"/>
        </w:rPr>
      </w:pPr>
      <w:hyperlink w:anchor="_Toc146806587" w:history="1">
        <w:r w:rsidRPr="00C25B27">
          <w:rPr>
            <w:rStyle w:val="Hyperlink"/>
            <w:noProof/>
          </w:rPr>
          <w:t>5.</w:t>
        </w:r>
        <w:r>
          <w:rPr>
            <w:rFonts w:asciiTheme="minorHAnsi" w:eastAsiaTheme="minorEastAsia" w:hAnsiTheme="minorHAnsi" w:cstheme="minorBidi"/>
            <w:noProof/>
            <w:color w:val="auto"/>
            <w:lang w:eastAsia="en-GB"/>
          </w:rPr>
          <w:tab/>
        </w:r>
        <w:r w:rsidRPr="00C25B27">
          <w:rPr>
            <w:rStyle w:val="Hyperlink"/>
            <w:noProof/>
          </w:rPr>
          <w:t>Investment Strategy</w:t>
        </w:r>
        <w:r>
          <w:rPr>
            <w:noProof/>
            <w:webHidden/>
          </w:rPr>
          <w:tab/>
        </w:r>
        <w:r>
          <w:rPr>
            <w:noProof/>
            <w:webHidden/>
          </w:rPr>
          <w:fldChar w:fldCharType="begin"/>
        </w:r>
        <w:r>
          <w:rPr>
            <w:noProof/>
            <w:webHidden/>
          </w:rPr>
          <w:instrText xml:space="preserve"> PAGEREF _Toc146806587 \h </w:instrText>
        </w:r>
        <w:r>
          <w:rPr>
            <w:noProof/>
            <w:webHidden/>
          </w:rPr>
        </w:r>
        <w:r>
          <w:rPr>
            <w:noProof/>
            <w:webHidden/>
          </w:rPr>
          <w:fldChar w:fldCharType="separate"/>
        </w:r>
        <w:r>
          <w:rPr>
            <w:noProof/>
            <w:webHidden/>
          </w:rPr>
          <w:t>10</w:t>
        </w:r>
        <w:r>
          <w:rPr>
            <w:noProof/>
            <w:webHidden/>
          </w:rPr>
          <w:fldChar w:fldCharType="end"/>
        </w:r>
      </w:hyperlink>
    </w:p>
    <w:p w14:paraId="214575EC" w14:textId="6054168F" w:rsidR="00277A25" w:rsidRDefault="00277A25">
      <w:pPr>
        <w:pStyle w:val="TOC1"/>
        <w:tabs>
          <w:tab w:val="left" w:pos="440"/>
          <w:tab w:val="right" w:leader="dot" w:pos="7785"/>
        </w:tabs>
        <w:rPr>
          <w:rFonts w:asciiTheme="minorHAnsi" w:eastAsiaTheme="minorEastAsia" w:hAnsiTheme="minorHAnsi" w:cstheme="minorBidi"/>
          <w:noProof/>
          <w:color w:val="auto"/>
          <w:lang w:eastAsia="en-GB"/>
        </w:rPr>
      </w:pPr>
      <w:hyperlink w:anchor="_Toc146806588" w:history="1">
        <w:r w:rsidRPr="00C25B27">
          <w:rPr>
            <w:rStyle w:val="Hyperlink"/>
            <w:noProof/>
          </w:rPr>
          <w:t>6.</w:t>
        </w:r>
        <w:r>
          <w:rPr>
            <w:rFonts w:asciiTheme="minorHAnsi" w:eastAsiaTheme="minorEastAsia" w:hAnsiTheme="minorHAnsi" w:cstheme="minorBidi"/>
            <w:noProof/>
            <w:color w:val="auto"/>
            <w:lang w:eastAsia="en-GB"/>
          </w:rPr>
          <w:tab/>
        </w:r>
        <w:r w:rsidRPr="00C25B27">
          <w:rPr>
            <w:rStyle w:val="Hyperlink"/>
            <w:noProof/>
          </w:rPr>
          <w:t>Responsible Investing</w:t>
        </w:r>
        <w:r>
          <w:rPr>
            <w:noProof/>
            <w:webHidden/>
          </w:rPr>
          <w:tab/>
        </w:r>
        <w:r>
          <w:rPr>
            <w:noProof/>
            <w:webHidden/>
          </w:rPr>
          <w:fldChar w:fldCharType="begin"/>
        </w:r>
        <w:r>
          <w:rPr>
            <w:noProof/>
            <w:webHidden/>
          </w:rPr>
          <w:instrText xml:space="preserve"> PAGEREF _Toc146806588 \h </w:instrText>
        </w:r>
        <w:r>
          <w:rPr>
            <w:noProof/>
            <w:webHidden/>
          </w:rPr>
        </w:r>
        <w:r>
          <w:rPr>
            <w:noProof/>
            <w:webHidden/>
          </w:rPr>
          <w:fldChar w:fldCharType="separate"/>
        </w:r>
        <w:r>
          <w:rPr>
            <w:noProof/>
            <w:webHidden/>
          </w:rPr>
          <w:t>11</w:t>
        </w:r>
        <w:r>
          <w:rPr>
            <w:noProof/>
            <w:webHidden/>
          </w:rPr>
          <w:fldChar w:fldCharType="end"/>
        </w:r>
      </w:hyperlink>
    </w:p>
    <w:p w14:paraId="00C99DD4" w14:textId="320C72C6" w:rsidR="00277A25" w:rsidRDefault="00277A25">
      <w:pPr>
        <w:pStyle w:val="TOC1"/>
        <w:tabs>
          <w:tab w:val="left" w:pos="440"/>
          <w:tab w:val="right" w:leader="dot" w:pos="7785"/>
        </w:tabs>
        <w:rPr>
          <w:rFonts w:asciiTheme="minorHAnsi" w:eastAsiaTheme="minorEastAsia" w:hAnsiTheme="minorHAnsi" w:cstheme="minorBidi"/>
          <w:noProof/>
          <w:color w:val="auto"/>
          <w:lang w:eastAsia="en-GB"/>
        </w:rPr>
      </w:pPr>
      <w:hyperlink w:anchor="_Toc146806589" w:history="1">
        <w:r w:rsidRPr="00C25B27">
          <w:rPr>
            <w:rStyle w:val="Hyperlink"/>
            <w:noProof/>
          </w:rPr>
          <w:t>7.</w:t>
        </w:r>
        <w:r>
          <w:rPr>
            <w:rFonts w:asciiTheme="minorHAnsi" w:eastAsiaTheme="minorEastAsia" w:hAnsiTheme="minorHAnsi" w:cstheme="minorBidi"/>
            <w:noProof/>
            <w:color w:val="auto"/>
            <w:lang w:eastAsia="en-GB"/>
          </w:rPr>
          <w:tab/>
        </w:r>
        <w:r w:rsidRPr="00C25B27">
          <w:rPr>
            <w:rStyle w:val="Hyperlink"/>
            <w:noProof/>
          </w:rPr>
          <w:t>Risk</w:t>
        </w:r>
        <w:r>
          <w:rPr>
            <w:noProof/>
            <w:webHidden/>
          </w:rPr>
          <w:tab/>
        </w:r>
        <w:r>
          <w:rPr>
            <w:noProof/>
            <w:webHidden/>
          </w:rPr>
          <w:fldChar w:fldCharType="begin"/>
        </w:r>
        <w:r>
          <w:rPr>
            <w:noProof/>
            <w:webHidden/>
          </w:rPr>
          <w:instrText xml:space="preserve"> PAGEREF _Toc146806589 \h </w:instrText>
        </w:r>
        <w:r>
          <w:rPr>
            <w:noProof/>
            <w:webHidden/>
          </w:rPr>
        </w:r>
        <w:r>
          <w:rPr>
            <w:noProof/>
            <w:webHidden/>
          </w:rPr>
          <w:fldChar w:fldCharType="separate"/>
        </w:r>
        <w:r>
          <w:rPr>
            <w:noProof/>
            <w:webHidden/>
          </w:rPr>
          <w:t>14</w:t>
        </w:r>
        <w:r>
          <w:rPr>
            <w:noProof/>
            <w:webHidden/>
          </w:rPr>
          <w:fldChar w:fldCharType="end"/>
        </w:r>
      </w:hyperlink>
    </w:p>
    <w:p w14:paraId="0E5D8AAD" w14:textId="51BD7C16" w:rsidR="00277A25" w:rsidRDefault="00277A25">
      <w:pPr>
        <w:pStyle w:val="TOC1"/>
        <w:tabs>
          <w:tab w:val="left" w:pos="440"/>
          <w:tab w:val="right" w:leader="dot" w:pos="7785"/>
        </w:tabs>
        <w:rPr>
          <w:rFonts w:asciiTheme="minorHAnsi" w:eastAsiaTheme="minorEastAsia" w:hAnsiTheme="minorHAnsi" w:cstheme="minorBidi"/>
          <w:noProof/>
          <w:color w:val="auto"/>
          <w:lang w:eastAsia="en-GB"/>
        </w:rPr>
      </w:pPr>
      <w:hyperlink w:anchor="_Toc146806599" w:history="1">
        <w:r w:rsidRPr="00C25B27">
          <w:rPr>
            <w:rStyle w:val="Hyperlink"/>
            <w:noProof/>
          </w:rPr>
          <w:t>8.</w:t>
        </w:r>
        <w:r>
          <w:rPr>
            <w:rFonts w:asciiTheme="minorHAnsi" w:eastAsiaTheme="minorEastAsia" w:hAnsiTheme="minorHAnsi" w:cstheme="minorBidi"/>
            <w:noProof/>
            <w:color w:val="auto"/>
            <w:lang w:eastAsia="en-GB"/>
          </w:rPr>
          <w:tab/>
        </w:r>
        <w:r w:rsidRPr="00C25B27">
          <w:rPr>
            <w:rStyle w:val="Hyperlink"/>
            <w:noProof/>
          </w:rPr>
          <w:t>Monitoring of Investment Adviser and Managers</w:t>
        </w:r>
        <w:r>
          <w:rPr>
            <w:noProof/>
            <w:webHidden/>
          </w:rPr>
          <w:tab/>
        </w:r>
        <w:r>
          <w:rPr>
            <w:noProof/>
            <w:webHidden/>
          </w:rPr>
          <w:fldChar w:fldCharType="begin"/>
        </w:r>
        <w:r>
          <w:rPr>
            <w:noProof/>
            <w:webHidden/>
          </w:rPr>
          <w:instrText xml:space="preserve"> PAGEREF _Toc146806599 \h </w:instrText>
        </w:r>
        <w:r>
          <w:rPr>
            <w:noProof/>
            <w:webHidden/>
          </w:rPr>
        </w:r>
        <w:r>
          <w:rPr>
            <w:noProof/>
            <w:webHidden/>
          </w:rPr>
          <w:fldChar w:fldCharType="separate"/>
        </w:r>
        <w:r>
          <w:rPr>
            <w:noProof/>
            <w:webHidden/>
          </w:rPr>
          <w:t>18</w:t>
        </w:r>
        <w:r>
          <w:rPr>
            <w:noProof/>
            <w:webHidden/>
          </w:rPr>
          <w:fldChar w:fldCharType="end"/>
        </w:r>
      </w:hyperlink>
    </w:p>
    <w:p w14:paraId="359DBE34" w14:textId="6AC69677" w:rsidR="00277A25" w:rsidRDefault="00277A25">
      <w:pPr>
        <w:pStyle w:val="TOC1"/>
        <w:tabs>
          <w:tab w:val="left" w:pos="440"/>
          <w:tab w:val="right" w:leader="dot" w:pos="7785"/>
        </w:tabs>
        <w:rPr>
          <w:rFonts w:asciiTheme="minorHAnsi" w:eastAsiaTheme="minorEastAsia" w:hAnsiTheme="minorHAnsi" w:cstheme="minorBidi"/>
          <w:noProof/>
          <w:color w:val="auto"/>
          <w:lang w:eastAsia="en-GB"/>
        </w:rPr>
      </w:pPr>
      <w:hyperlink w:anchor="_Toc146806600" w:history="1">
        <w:r w:rsidRPr="00C25B27">
          <w:rPr>
            <w:rStyle w:val="Hyperlink"/>
            <w:noProof/>
          </w:rPr>
          <w:t>9.</w:t>
        </w:r>
        <w:r>
          <w:rPr>
            <w:rFonts w:asciiTheme="minorHAnsi" w:eastAsiaTheme="minorEastAsia" w:hAnsiTheme="minorHAnsi" w:cstheme="minorBidi"/>
            <w:noProof/>
            <w:color w:val="auto"/>
            <w:lang w:eastAsia="en-GB"/>
          </w:rPr>
          <w:tab/>
        </w:r>
        <w:r w:rsidRPr="00C25B27">
          <w:rPr>
            <w:rStyle w:val="Hyperlink"/>
            <w:noProof/>
          </w:rPr>
          <w:t>Code of Best Practice</w:t>
        </w:r>
        <w:r>
          <w:rPr>
            <w:noProof/>
            <w:webHidden/>
          </w:rPr>
          <w:tab/>
        </w:r>
        <w:r>
          <w:rPr>
            <w:noProof/>
            <w:webHidden/>
          </w:rPr>
          <w:fldChar w:fldCharType="begin"/>
        </w:r>
        <w:r>
          <w:rPr>
            <w:noProof/>
            <w:webHidden/>
          </w:rPr>
          <w:instrText xml:space="preserve"> PAGEREF _Toc146806600 \h </w:instrText>
        </w:r>
        <w:r>
          <w:rPr>
            <w:noProof/>
            <w:webHidden/>
          </w:rPr>
        </w:r>
        <w:r>
          <w:rPr>
            <w:noProof/>
            <w:webHidden/>
          </w:rPr>
          <w:fldChar w:fldCharType="separate"/>
        </w:r>
        <w:r>
          <w:rPr>
            <w:noProof/>
            <w:webHidden/>
          </w:rPr>
          <w:t>20</w:t>
        </w:r>
        <w:r>
          <w:rPr>
            <w:noProof/>
            <w:webHidden/>
          </w:rPr>
          <w:fldChar w:fldCharType="end"/>
        </w:r>
      </w:hyperlink>
    </w:p>
    <w:p w14:paraId="7F96A2EF" w14:textId="6199491C" w:rsidR="00277A25" w:rsidRDefault="00277A25">
      <w:pPr>
        <w:pStyle w:val="TOC1"/>
        <w:tabs>
          <w:tab w:val="right" w:leader="dot" w:pos="7785"/>
        </w:tabs>
        <w:rPr>
          <w:rFonts w:asciiTheme="minorHAnsi" w:eastAsiaTheme="minorEastAsia" w:hAnsiTheme="minorHAnsi" w:cstheme="minorBidi"/>
          <w:noProof/>
          <w:color w:val="auto"/>
          <w:lang w:eastAsia="en-GB"/>
        </w:rPr>
      </w:pPr>
      <w:hyperlink w:anchor="_Toc146806601" w:history="1">
        <w:r w:rsidRPr="00C25B27">
          <w:rPr>
            <w:rStyle w:val="Hyperlink"/>
            <w:noProof/>
          </w:rPr>
          <w:t>Appendix 1</w:t>
        </w:r>
        <w:r>
          <w:rPr>
            <w:noProof/>
            <w:webHidden/>
          </w:rPr>
          <w:tab/>
        </w:r>
        <w:r>
          <w:rPr>
            <w:noProof/>
            <w:webHidden/>
          </w:rPr>
          <w:fldChar w:fldCharType="begin"/>
        </w:r>
        <w:r>
          <w:rPr>
            <w:noProof/>
            <w:webHidden/>
          </w:rPr>
          <w:instrText xml:space="preserve"> PAGEREF _Toc146806601 \h </w:instrText>
        </w:r>
        <w:r>
          <w:rPr>
            <w:noProof/>
            <w:webHidden/>
          </w:rPr>
        </w:r>
        <w:r>
          <w:rPr>
            <w:noProof/>
            <w:webHidden/>
          </w:rPr>
          <w:fldChar w:fldCharType="separate"/>
        </w:r>
        <w:r>
          <w:rPr>
            <w:noProof/>
            <w:webHidden/>
          </w:rPr>
          <w:t>21</w:t>
        </w:r>
        <w:r>
          <w:rPr>
            <w:noProof/>
            <w:webHidden/>
          </w:rPr>
          <w:fldChar w:fldCharType="end"/>
        </w:r>
      </w:hyperlink>
    </w:p>
    <w:p w14:paraId="67FD225B" w14:textId="6162626E" w:rsidR="002D3ADC" w:rsidRDefault="002D3ADC">
      <w:r>
        <w:rPr>
          <w:b/>
          <w:bCs/>
          <w:noProof/>
        </w:rPr>
        <w:fldChar w:fldCharType="end"/>
      </w:r>
    </w:p>
    <w:p w14:paraId="751BE548" w14:textId="77777777" w:rsidR="00DF587E" w:rsidRPr="009B2CE2" w:rsidRDefault="00FC225E" w:rsidP="00C73278">
      <w:pPr>
        <w:pStyle w:val="Heading1"/>
        <w:numPr>
          <w:ilvl w:val="0"/>
          <w:numId w:val="28"/>
        </w:numPr>
        <w:ind w:left="0" w:hanging="436"/>
        <w:rPr>
          <w:rFonts w:hint="eastAsia"/>
        </w:rPr>
      </w:pPr>
      <w:bookmarkStart w:id="42" w:name="_Toc497143275"/>
      <w:r>
        <w:rPr>
          <w:rFonts w:hint="eastAsia"/>
        </w:rPr>
        <w:br w:type="page"/>
      </w:r>
      <w:bookmarkStart w:id="43" w:name="_Toc146806580"/>
      <w:r w:rsidR="000D41EB">
        <w:t>Intr</w:t>
      </w:r>
      <w:r w:rsidR="000D41EB" w:rsidRPr="00182859">
        <w:rPr>
          <w:rStyle w:val="Heading1Char"/>
        </w:rPr>
        <w:t>oducti</w:t>
      </w:r>
      <w:r w:rsidR="000D41EB">
        <w:t>on</w:t>
      </w:r>
      <w:bookmarkEnd w:id="42"/>
      <w:bookmarkEnd w:id="43"/>
    </w:p>
    <w:p w14:paraId="4A37EE65" w14:textId="77777777" w:rsidR="000D41EB" w:rsidRDefault="000D41EB" w:rsidP="000D41EB">
      <w:pPr>
        <w:spacing w:line="240" w:lineRule="auto"/>
      </w:pPr>
      <w:r>
        <w:t xml:space="preserve">Under Section 35 of The Pensions Act 1995, </w:t>
      </w:r>
      <w:r w:rsidR="00F14CDC">
        <w:t>Trustees</w:t>
      </w:r>
      <w:r>
        <w:t xml:space="preserve"> are required to prepare and review regularly a Statement of Investment Principles, dealing with certain specific matters.  </w:t>
      </w:r>
    </w:p>
    <w:p w14:paraId="5EC1809E" w14:textId="77777777" w:rsidR="000D41EB" w:rsidRDefault="000D41EB" w:rsidP="000D41EB">
      <w:pPr>
        <w:spacing w:line="240" w:lineRule="auto"/>
      </w:pPr>
      <w:r>
        <w:t xml:space="preserve">This statement sets out the principles governing decisions about the investment of the assets of the General Dynamics UK Retirement and Death Benefit Scheme (“the Scheme”). Before preparing it, the </w:t>
      </w:r>
      <w:r w:rsidR="00F14CDC">
        <w:t>Trustees</w:t>
      </w:r>
      <w:r>
        <w:t xml:space="preserve"> have obtained and considered written professional advice from </w:t>
      </w:r>
      <w:r w:rsidR="000F2456">
        <w:t>Mercer</w:t>
      </w:r>
      <w:r>
        <w:t xml:space="preserve"> as their investment consultants. Prior to finalising the document, they have also consulted with the employer. </w:t>
      </w:r>
    </w:p>
    <w:p w14:paraId="407004C4" w14:textId="3E712BA8" w:rsidR="000D41EB" w:rsidRDefault="000D41EB" w:rsidP="000D41EB">
      <w:pPr>
        <w:spacing w:line="240" w:lineRule="auto"/>
      </w:pPr>
      <w:r>
        <w:t xml:space="preserve">This statement supersedes the one prepared by the </w:t>
      </w:r>
      <w:r w:rsidR="00F14CDC">
        <w:t>Trustees</w:t>
      </w:r>
      <w:r>
        <w:t xml:space="preserve"> in </w:t>
      </w:r>
      <w:r w:rsidR="00F16259">
        <w:t>September 2020</w:t>
      </w:r>
    </w:p>
    <w:p w14:paraId="2473A51A" w14:textId="77777777" w:rsidR="000D41EB" w:rsidRDefault="000D41EB" w:rsidP="000D41EB">
      <w:pPr>
        <w:spacing w:line="240" w:lineRule="auto"/>
      </w:pPr>
      <w:r>
        <w:t xml:space="preserve">The Scheme’s assets are held in trust for the Scheme by the </w:t>
      </w:r>
      <w:r w:rsidR="00F14CDC">
        <w:t>Trustees</w:t>
      </w:r>
      <w:r>
        <w:t>, whose powers of investment are set out in the Trust Deed and Rules.</w:t>
      </w:r>
    </w:p>
    <w:p w14:paraId="03919E61" w14:textId="77777777" w:rsidR="000D41EB" w:rsidRDefault="000D41EB" w:rsidP="000D41EB">
      <w:pPr>
        <w:spacing w:line="240" w:lineRule="auto"/>
      </w:pPr>
      <w:r>
        <w:t xml:space="preserve">The </w:t>
      </w:r>
      <w:r w:rsidR="00F14CDC">
        <w:t>Trustees</w:t>
      </w:r>
      <w:r>
        <w:t xml:space="preserve"> regularly review this Statement on an ongoing </w:t>
      </w:r>
      <w:proofErr w:type="gramStart"/>
      <w:r>
        <w:t>basis, and</w:t>
      </w:r>
      <w:proofErr w:type="gramEnd"/>
      <w:r>
        <w:t xml:space="preserve"> will also do so in response to any material changes to any aspects of the investment arrangements detailed above. Formal reviews will be undertaken no less frequently than every 3 years.  Any such review will again be based on written, expert investment advice and will be in consultation with the sponsoring employer.</w:t>
      </w:r>
    </w:p>
    <w:p w14:paraId="690EF2E1" w14:textId="6540169E" w:rsidR="00A409B3" w:rsidRDefault="00DE2241" w:rsidP="00DE2241">
      <w:pPr>
        <w:pStyle w:val="Heading1"/>
        <w:spacing w:line="360" w:lineRule="auto"/>
        <w:rPr>
          <w:rFonts w:hint="eastAsia"/>
        </w:rPr>
      </w:pPr>
      <w:r w:rsidRPr="00DE2241">
        <w:rPr>
          <w:rStyle w:val="Emphasis"/>
        </w:rPr>
        <w:t>This Statement of Investment Principles, taken as a whole with the Appendices, supersedes all others and was adopted by the Trustee on 1</w:t>
      </w:r>
      <w:r>
        <w:rPr>
          <w:rStyle w:val="Emphasis"/>
        </w:rPr>
        <w:t>2</w:t>
      </w:r>
      <w:r w:rsidRPr="00DE2241">
        <w:rPr>
          <w:rStyle w:val="Emphasis"/>
        </w:rPr>
        <w:t>th September 202</w:t>
      </w:r>
      <w:r>
        <w:rPr>
          <w:rStyle w:val="Emphasis"/>
        </w:rPr>
        <w:t>3</w:t>
      </w:r>
      <w:r w:rsidRPr="00DE2241">
        <w:rPr>
          <w:rStyle w:val="Emphasis"/>
        </w:rPr>
        <w:t>.</w:t>
      </w:r>
      <w:r>
        <w:rPr>
          <w:b w:val="0"/>
          <w:bCs w:val="0"/>
          <w:i/>
          <w:iCs/>
          <w:sz w:val="23"/>
          <w:szCs w:val="23"/>
        </w:rPr>
        <w:t xml:space="preserve"> </w:t>
      </w:r>
      <w:r w:rsidR="00FC225E">
        <w:rPr>
          <w:rFonts w:hint="eastAsia"/>
        </w:rPr>
        <w:br w:type="page"/>
      </w:r>
      <w:bookmarkStart w:id="44" w:name="_Toc146806581"/>
      <w:r w:rsidR="00C60101">
        <w:t>Investment Responsibilities</w:t>
      </w:r>
      <w:bookmarkEnd w:id="44"/>
      <w:r w:rsidR="00C60101">
        <w:t xml:space="preserve"> </w:t>
      </w:r>
    </w:p>
    <w:p w14:paraId="7D889859" w14:textId="77777777" w:rsidR="00AC03F8" w:rsidRPr="00AC03F8" w:rsidRDefault="00AC03F8" w:rsidP="00AC03F8">
      <w:pPr>
        <w:spacing w:before="240"/>
        <w:rPr>
          <w:rStyle w:val="IntenseEmphasis"/>
          <w:rFonts w:ascii="Arial" w:eastAsia="MS Gothic" w:hAnsi="Arial"/>
          <w:i w:val="0"/>
          <w:color w:val="00864A"/>
          <w:sz w:val="24"/>
          <w:szCs w:val="26"/>
        </w:rPr>
      </w:pPr>
      <w:r w:rsidRPr="00AC03F8">
        <w:rPr>
          <w:rStyle w:val="IntenseEmphasis"/>
          <w:rFonts w:ascii="Arial" w:eastAsia="MS Gothic" w:hAnsi="Arial"/>
          <w:i w:val="0"/>
          <w:color w:val="00864A"/>
          <w:sz w:val="24"/>
          <w:szCs w:val="26"/>
        </w:rPr>
        <w:t xml:space="preserve">Trustees’ Duties and Responsibilities </w:t>
      </w:r>
    </w:p>
    <w:p w14:paraId="7C497CC6" w14:textId="77777777" w:rsidR="000F2456" w:rsidRPr="00994710" w:rsidRDefault="000F2456" w:rsidP="000F2456">
      <w:r w:rsidRPr="00994710">
        <w:t>The Trustees are responsible for setting the investment objectives and determining the strat</w:t>
      </w:r>
      <w:r>
        <w:t xml:space="preserve">egy to achieve the objectives.  </w:t>
      </w:r>
      <w:r w:rsidRPr="00994710">
        <w:t>They carry out their duties and fulfil their responsibilities as a single body.</w:t>
      </w:r>
    </w:p>
    <w:p w14:paraId="2A44AE3E" w14:textId="77777777" w:rsidR="000F2456" w:rsidRPr="00386044" w:rsidRDefault="000F2456" w:rsidP="000F2456">
      <w:r w:rsidRPr="00994710">
        <w:t xml:space="preserve">The duties and responsibilities </w:t>
      </w:r>
      <w:r w:rsidRPr="00386044">
        <w:t>of the Trustees include, but are not limited to, the following tasks and activities:</w:t>
      </w:r>
    </w:p>
    <w:p w14:paraId="27DD532C" w14:textId="77777777" w:rsidR="000F2456" w:rsidRPr="00555BF9" w:rsidRDefault="000F2456" w:rsidP="000F2456">
      <w:pPr>
        <w:pStyle w:val="ListBullet"/>
        <w:rPr>
          <w:rFonts w:ascii="Calibri" w:eastAsia="Calibri" w:hAnsi="Calibri"/>
          <w:color w:val="404040"/>
          <w:sz w:val="22"/>
        </w:rPr>
      </w:pPr>
      <w:r w:rsidRPr="00555BF9">
        <w:rPr>
          <w:rFonts w:ascii="Calibri" w:eastAsia="Calibri" w:hAnsi="Calibri"/>
          <w:color w:val="404040"/>
          <w:sz w:val="22"/>
        </w:rPr>
        <w:t>The regular approval of the content of the Statement</w:t>
      </w:r>
    </w:p>
    <w:p w14:paraId="70CC7FDF" w14:textId="77777777" w:rsidR="000F2456" w:rsidRPr="00555BF9" w:rsidRDefault="000F2456" w:rsidP="000F2456">
      <w:pPr>
        <w:pStyle w:val="ListBullet"/>
        <w:rPr>
          <w:rFonts w:ascii="Calibri" w:eastAsia="Calibri" w:hAnsi="Calibri"/>
          <w:color w:val="404040"/>
          <w:sz w:val="22"/>
        </w:rPr>
      </w:pPr>
      <w:r w:rsidRPr="00555BF9">
        <w:rPr>
          <w:rFonts w:ascii="Calibri" w:eastAsia="Calibri" w:hAnsi="Calibri"/>
          <w:color w:val="404040"/>
          <w:sz w:val="22"/>
        </w:rPr>
        <w:t>The appointment and review of the Investment Manager and Investment Adviser</w:t>
      </w:r>
    </w:p>
    <w:p w14:paraId="70527363" w14:textId="77777777" w:rsidR="000F2456" w:rsidRPr="00555BF9" w:rsidRDefault="000F2456" w:rsidP="000F2456">
      <w:pPr>
        <w:pStyle w:val="ListBullet"/>
        <w:rPr>
          <w:rFonts w:ascii="Calibri" w:eastAsia="Calibri" w:hAnsi="Calibri"/>
          <w:color w:val="404040"/>
          <w:sz w:val="22"/>
        </w:rPr>
      </w:pPr>
      <w:r w:rsidRPr="00555BF9">
        <w:rPr>
          <w:rFonts w:ascii="Calibri" w:eastAsia="Calibri" w:hAnsi="Calibri"/>
          <w:color w:val="404040"/>
          <w:sz w:val="22"/>
        </w:rPr>
        <w:t>The assessment and review of the performance of each underlying investment manager</w:t>
      </w:r>
    </w:p>
    <w:p w14:paraId="26219407" w14:textId="77777777" w:rsidR="000F2456" w:rsidRPr="00555BF9" w:rsidRDefault="000F2456" w:rsidP="000F2456">
      <w:pPr>
        <w:pStyle w:val="ListBullet"/>
        <w:rPr>
          <w:rFonts w:ascii="Calibri" w:eastAsia="Calibri" w:hAnsi="Calibri"/>
          <w:color w:val="404040"/>
          <w:sz w:val="22"/>
        </w:rPr>
      </w:pPr>
      <w:r w:rsidRPr="00555BF9">
        <w:rPr>
          <w:rFonts w:ascii="Calibri" w:eastAsia="Calibri" w:hAnsi="Calibri"/>
          <w:color w:val="404040"/>
          <w:sz w:val="22"/>
        </w:rPr>
        <w:t>The setting and review of the investment parameters within which the investment managers can operate</w:t>
      </w:r>
    </w:p>
    <w:p w14:paraId="71389C25" w14:textId="77777777" w:rsidR="000F2456" w:rsidRPr="00555BF9" w:rsidRDefault="000F2456" w:rsidP="000F2456">
      <w:pPr>
        <w:pStyle w:val="ListBullet"/>
        <w:rPr>
          <w:rFonts w:ascii="Calibri" w:eastAsia="Calibri" w:hAnsi="Calibri"/>
          <w:color w:val="404040"/>
          <w:sz w:val="22"/>
        </w:rPr>
      </w:pPr>
      <w:r w:rsidRPr="00555BF9">
        <w:rPr>
          <w:rFonts w:ascii="Calibri" w:eastAsia="Calibri" w:hAnsi="Calibri"/>
          <w:color w:val="404040"/>
          <w:sz w:val="22"/>
        </w:rPr>
        <w:t>The assessment of the risks assumed by the Scheme at total scheme level and manager by manager</w:t>
      </w:r>
    </w:p>
    <w:p w14:paraId="23CB1BD9" w14:textId="77777777" w:rsidR="000F2456" w:rsidRPr="00555BF9" w:rsidRDefault="000F2456" w:rsidP="000F2456">
      <w:pPr>
        <w:pStyle w:val="ListBullet"/>
        <w:rPr>
          <w:rFonts w:ascii="Calibri" w:eastAsia="Calibri" w:hAnsi="Calibri"/>
          <w:color w:val="404040"/>
          <w:sz w:val="22"/>
        </w:rPr>
      </w:pPr>
      <w:r w:rsidRPr="00555BF9">
        <w:rPr>
          <w:rFonts w:ascii="Calibri" w:eastAsia="Calibri" w:hAnsi="Calibri"/>
          <w:color w:val="404040"/>
          <w:sz w:val="22"/>
        </w:rPr>
        <w:t>The approval and review of the asset allocation benchmark for the Scheme</w:t>
      </w:r>
    </w:p>
    <w:p w14:paraId="41F81698" w14:textId="77777777" w:rsidR="000F2456" w:rsidRPr="00AC03F8" w:rsidRDefault="000F2456" w:rsidP="00AC03F8">
      <w:pPr>
        <w:pStyle w:val="ListBullet"/>
        <w:rPr>
          <w:rFonts w:ascii="Calibri" w:eastAsia="Calibri" w:hAnsi="Calibri"/>
          <w:color w:val="404040"/>
          <w:sz w:val="22"/>
        </w:rPr>
      </w:pPr>
      <w:r w:rsidRPr="00555BF9">
        <w:rPr>
          <w:rFonts w:ascii="Calibri" w:eastAsia="Calibri" w:hAnsi="Calibri"/>
          <w:color w:val="404040"/>
          <w:sz w:val="22"/>
        </w:rPr>
        <w:t>The compliance of the investment arrangements with the principles set out in the Statement</w:t>
      </w:r>
    </w:p>
    <w:p w14:paraId="658798FD" w14:textId="77777777" w:rsidR="00AC03F8" w:rsidRDefault="00AC03F8" w:rsidP="00AC03F8">
      <w:pPr>
        <w:spacing w:before="240"/>
        <w:rPr>
          <w:rStyle w:val="IntenseEmphasis"/>
          <w:rFonts w:ascii="Arial" w:eastAsia="MS Gothic" w:hAnsi="Arial"/>
          <w:i w:val="0"/>
          <w:color w:val="00864A"/>
          <w:sz w:val="24"/>
          <w:szCs w:val="26"/>
        </w:rPr>
      </w:pPr>
      <w:r>
        <w:rPr>
          <w:rStyle w:val="IntenseEmphasis"/>
          <w:rFonts w:ascii="Arial" w:eastAsia="MS Gothic" w:hAnsi="Arial"/>
          <w:i w:val="0"/>
          <w:color w:val="00864A"/>
          <w:sz w:val="24"/>
          <w:szCs w:val="26"/>
        </w:rPr>
        <w:t>Investment Adviser’s Duties and Responsibilities</w:t>
      </w:r>
    </w:p>
    <w:p w14:paraId="1E04FE99" w14:textId="6343F9B7" w:rsidR="00AC03F8" w:rsidRPr="00AC03F8" w:rsidRDefault="00AC03F8" w:rsidP="00AC03F8">
      <w:pPr>
        <w:pStyle w:val="BodyText"/>
        <w:rPr>
          <w:rFonts w:ascii="Calibri" w:eastAsia="Calibri" w:hAnsi="Calibri"/>
          <w:color w:val="404040"/>
          <w:sz w:val="22"/>
        </w:rPr>
      </w:pPr>
      <w:r w:rsidRPr="00AC03F8">
        <w:rPr>
          <w:rFonts w:ascii="Calibri" w:eastAsia="Calibri" w:hAnsi="Calibri"/>
          <w:color w:val="404040"/>
          <w:sz w:val="22"/>
        </w:rPr>
        <w:t xml:space="preserve">The Trustees have appointed Mercer as the investment adviser to the </w:t>
      </w:r>
      <w:r w:rsidR="00BA41B5">
        <w:rPr>
          <w:rFonts w:ascii="Calibri" w:eastAsia="Calibri" w:hAnsi="Calibri"/>
          <w:color w:val="404040"/>
          <w:sz w:val="22"/>
        </w:rPr>
        <w:t>Scheme</w:t>
      </w:r>
      <w:r w:rsidRPr="00AC03F8">
        <w:rPr>
          <w:rFonts w:ascii="Calibri" w:eastAsia="Calibri" w:hAnsi="Calibri"/>
          <w:color w:val="404040"/>
          <w:sz w:val="22"/>
        </w:rPr>
        <w:t>. Mercer provides advice as and when the Trustees require it, as well as raising any investment-related issues, which it believes the Trustees should be aware. Matters on which the Mercer expects to provide advice to the Trustees include the following:</w:t>
      </w:r>
    </w:p>
    <w:p w14:paraId="40A80182" w14:textId="77777777" w:rsidR="00AC03F8" w:rsidRPr="00AC03F8" w:rsidRDefault="00AC03F8" w:rsidP="00AC03F8">
      <w:pPr>
        <w:pStyle w:val="ListBullet"/>
        <w:rPr>
          <w:rFonts w:ascii="Calibri" w:eastAsia="Calibri" w:hAnsi="Calibri"/>
          <w:color w:val="404040"/>
          <w:sz w:val="22"/>
        </w:rPr>
      </w:pPr>
      <w:r w:rsidRPr="00AC03F8">
        <w:rPr>
          <w:rFonts w:ascii="Calibri" w:eastAsia="Calibri" w:hAnsi="Calibri"/>
          <w:color w:val="404040"/>
          <w:sz w:val="22"/>
        </w:rPr>
        <w:t>Setting of investment objectives.</w:t>
      </w:r>
    </w:p>
    <w:p w14:paraId="084EAE79" w14:textId="77777777" w:rsidR="00AC03F8" w:rsidRPr="00AC03F8" w:rsidRDefault="00AC03F8" w:rsidP="00AC03F8">
      <w:pPr>
        <w:pStyle w:val="ListBullet"/>
        <w:rPr>
          <w:rFonts w:ascii="Calibri" w:eastAsia="Calibri" w:hAnsi="Calibri"/>
          <w:color w:val="404040"/>
          <w:sz w:val="22"/>
        </w:rPr>
      </w:pPr>
      <w:r w:rsidRPr="00AC03F8">
        <w:rPr>
          <w:rFonts w:ascii="Calibri" w:eastAsia="Calibri" w:hAnsi="Calibri"/>
          <w:color w:val="404040"/>
          <w:sz w:val="22"/>
        </w:rPr>
        <w:t>Determining investment strategy and asset allocation.</w:t>
      </w:r>
    </w:p>
    <w:p w14:paraId="4D880E0E" w14:textId="77777777" w:rsidR="00AC03F8" w:rsidRPr="00AC03F8" w:rsidRDefault="00AC03F8" w:rsidP="00AC03F8">
      <w:pPr>
        <w:pStyle w:val="ListBullet"/>
        <w:rPr>
          <w:rFonts w:ascii="Calibri" w:eastAsia="Calibri" w:hAnsi="Calibri"/>
          <w:color w:val="404040"/>
          <w:sz w:val="22"/>
        </w:rPr>
      </w:pPr>
      <w:r w:rsidRPr="00AC03F8">
        <w:rPr>
          <w:rFonts w:ascii="Calibri" w:eastAsia="Calibri" w:hAnsi="Calibri"/>
          <w:color w:val="404040"/>
          <w:sz w:val="22"/>
        </w:rPr>
        <w:t>Determining an appropriate investment structure.</w:t>
      </w:r>
    </w:p>
    <w:p w14:paraId="77900E77" w14:textId="77777777" w:rsidR="00AC03F8" w:rsidRPr="00AC03F8" w:rsidRDefault="00AC03F8" w:rsidP="00AC03F8">
      <w:pPr>
        <w:pStyle w:val="ListBullet"/>
        <w:rPr>
          <w:rFonts w:ascii="Calibri" w:eastAsia="Calibri" w:hAnsi="Calibri"/>
          <w:color w:val="404040"/>
          <w:sz w:val="22"/>
        </w:rPr>
      </w:pPr>
      <w:r w:rsidRPr="00AC03F8">
        <w:rPr>
          <w:rFonts w:ascii="Calibri" w:eastAsia="Calibri" w:hAnsi="Calibri"/>
          <w:color w:val="404040"/>
          <w:sz w:val="22"/>
        </w:rPr>
        <w:t>Advising on appropriate funds.</w:t>
      </w:r>
    </w:p>
    <w:p w14:paraId="6C87F432" w14:textId="086032BB" w:rsidR="00AC03F8" w:rsidRPr="00AC03F8" w:rsidRDefault="00AC03F8" w:rsidP="00AC03F8">
      <w:pPr>
        <w:pStyle w:val="ListBullet"/>
        <w:rPr>
          <w:rFonts w:ascii="Calibri" w:eastAsia="Calibri" w:hAnsi="Calibri"/>
          <w:color w:val="404040"/>
          <w:sz w:val="22"/>
        </w:rPr>
      </w:pPr>
      <w:r w:rsidRPr="00AC03F8">
        <w:rPr>
          <w:rFonts w:ascii="Calibri" w:eastAsia="Calibri" w:hAnsi="Calibri"/>
          <w:color w:val="404040"/>
          <w:sz w:val="22"/>
        </w:rPr>
        <w:t>Settin</w:t>
      </w:r>
      <w:r w:rsidR="00E0111E">
        <w:rPr>
          <w:rFonts w:ascii="Calibri" w:eastAsia="Calibri" w:hAnsi="Calibri"/>
          <w:color w:val="404040"/>
          <w:sz w:val="22"/>
        </w:rPr>
        <w:t>g cashflow management policies</w:t>
      </w:r>
      <w:r w:rsidRPr="00AC03F8">
        <w:rPr>
          <w:rFonts w:ascii="Calibri" w:eastAsia="Calibri" w:hAnsi="Calibri"/>
          <w:color w:val="404040"/>
          <w:sz w:val="22"/>
        </w:rPr>
        <w:t>.</w:t>
      </w:r>
    </w:p>
    <w:p w14:paraId="36B023DE" w14:textId="0E60ADE9" w:rsidR="00AC03F8" w:rsidRPr="00AC03F8" w:rsidRDefault="00AC03F8" w:rsidP="00AC03F8">
      <w:pPr>
        <w:pStyle w:val="BodyText"/>
        <w:rPr>
          <w:rFonts w:ascii="Calibri" w:eastAsia="Calibri" w:hAnsi="Calibri"/>
          <w:color w:val="404040"/>
          <w:sz w:val="22"/>
        </w:rPr>
      </w:pPr>
      <w:r w:rsidRPr="00AC03F8">
        <w:rPr>
          <w:rFonts w:ascii="Calibri" w:eastAsia="Calibri" w:hAnsi="Calibri"/>
          <w:color w:val="404040"/>
          <w:sz w:val="22"/>
        </w:rPr>
        <w:t xml:space="preserve">The Trustees may seek advice from Mercer </w:t>
      </w:r>
      <w:proofErr w:type="gramStart"/>
      <w:r w:rsidRPr="00AC03F8">
        <w:rPr>
          <w:rFonts w:ascii="Calibri" w:eastAsia="Calibri" w:hAnsi="Calibri"/>
          <w:color w:val="404040"/>
          <w:sz w:val="22"/>
        </w:rPr>
        <w:t>with regard to</w:t>
      </w:r>
      <w:proofErr w:type="gramEnd"/>
      <w:r w:rsidRPr="00AC03F8">
        <w:rPr>
          <w:rFonts w:ascii="Calibri" w:eastAsia="Calibri" w:hAnsi="Calibri"/>
          <w:color w:val="404040"/>
          <w:sz w:val="22"/>
        </w:rPr>
        <w:t xml:space="preserve"> both strategic and tactical inv</w:t>
      </w:r>
      <w:r w:rsidR="003D4CE7">
        <w:rPr>
          <w:rFonts w:ascii="Calibri" w:eastAsia="Calibri" w:hAnsi="Calibri"/>
          <w:color w:val="404040"/>
          <w:sz w:val="22"/>
        </w:rPr>
        <w:t>estment decisions (see Section 3</w:t>
      </w:r>
      <w:r w:rsidRPr="00AC03F8">
        <w:rPr>
          <w:rFonts w:ascii="Calibri" w:eastAsia="Calibri" w:hAnsi="Calibri"/>
          <w:color w:val="404040"/>
          <w:sz w:val="22"/>
        </w:rPr>
        <w:t xml:space="preserve"> </w:t>
      </w:r>
      <w:r w:rsidR="003D4CE7">
        <w:rPr>
          <w:rFonts w:ascii="Calibri" w:eastAsia="Calibri" w:hAnsi="Calibri"/>
          <w:color w:val="404040"/>
          <w:sz w:val="22"/>
        </w:rPr>
        <w:t>–</w:t>
      </w:r>
      <w:r w:rsidRPr="00AC03F8">
        <w:rPr>
          <w:rFonts w:ascii="Calibri" w:eastAsia="Calibri" w:hAnsi="Calibri"/>
          <w:color w:val="404040"/>
          <w:sz w:val="22"/>
        </w:rPr>
        <w:t xml:space="preserve"> </w:t>
      </w:r>
      <w:r w:rsidR="003D4CE7">
        <w:rPr>
          <w:rFonts w:ascii="Calibri" w:eastAsia="Calibri" w:hAnsi="Calibri"/>
          <w:color w:val="404040"/>
          <w:sz w:val="22"/>
        </w:rPr>
        <w:t>Investment Decisions</w:t>
      </w:r>
      <w:r w:rsidRPr="00AC03F8">
        <w:rPr>
          <w:rFonts w:ascii="Calibri" w:eastAsia="Calibri" w:hAnsi="Calibri"/>
          <w:color w:val="404040"/>
          <w:sz w:val="22"/>
        </w:rPr>
        <w:t>); however, they recognise that they retain responsibility for all such decisions, including those that concern investments and disinvestments relatin</w:t>
      </w:r>
      <w:r w:rsidR="00E0111E">
        <w:rPr>
          <w:rFonts w:ascii="Calibri" w:eastAsia="Calibri" w:hAnsi="Calibri"/>
          <w:color w:val="404040"/>
          <w:sz w:val="22"/>
        </w:rPr>
        <w:t>g to cash flows</w:t>
      </w:r>
      <w:r w:rsidRPr="00AC03F8">
        <w:rPr>
          <w:rFonts w:ascii="Calibri" w:eastAsia="Calibri" w:hAnsi="Calibri"/>
          <w:color w:val="404040"/>
          <w:sz w:val="22"/>
        </w:rPr>
        <w:t>.  Mercer may be proactive in advising the Trustees regarding tactical investment decisions; however, there is no responsibility placed on Mercer to be proactive in all circumstances.</w:t>
      </w:r>
    </w:p>
    <w:p w14:paraId="1E5CBF50" w14:textId="41CFD266" w:rsidR="00AC03F8" w:rsidRPr="00AC03F8" w:rsidRDefault="00AC03F8" w:rsidP="00AC03F8">
      <w:pPr>
        <w:pStyle w:val="BodyText"/>
        <w:rPr>
          <w:rFonts w:ascii="Calibri" w:eastAsia="Calibri" w:hAnsi="Calibri"/>
          <w:color w:val="404040"/>
          <w:sz w:val="22"/>
        </w:rPr>
      </w:pPr>
      <w:r w:rsidRPr="00AC03F8">
        <w:rPr>
          <w:rFonts w:ascii="Calibri" w:eastAsia="Calibri" w:hAnsi="Calibri"/>
          <w:color w:val="404040"/>
          <w:sz w:val="22"/>
        </w:rPr>
        <w:t xml:space="preserve">Mercer monitors the performance of the </w:t>
      </w:r>
      <w:r w:rsidR="00BA41B5">
        <w:rPr>
          <w:rFonts w:ascii="Calibri" w:eastAsia="Calibri" w:hAnsi="Calibri"/>
          <w:color w:val="404040"/>
          <w:sz w:val="22"/>
        </w:rPr>
        <w:t>Scheme</w:t>
      </w:r>
      <w:r w:rsidR="00BA41B5" w:rsidRPr="00AC03F8">
        <w:rPr>
          <w:rFonts w:ascii="Calibri" w:eastAsia="Calibri" w:hAnsi="Calibri"/>
          <w:color w:val="404040"/>
          <w:sz w:val="22"/>
        </w:rPr>
        <w:t xml:space="preserve">’s </w:t>
      </w:r>
      <w:r w:rsidRPr="00AC03F8">
        <w:rPr>
          <w:rFonts w:ascii="Calibri" w:eastAsia="Calibri" w:hAnsi="Calibri"/>
          <w:color w:val="404040"/>
          <w:sz w:val="22"/>
        </w:rPr>
        <w:t>investment managers against their benchmarks.</w:t>
      </w:r>
    </w:p>
    <w:p w14:paraId="6724145C" w14:textId="77777777" w:rsidR="00AC03F8" w:rsidRPr="00A33D49" w:rsidRDefault="00AC03F8" w:rsidP="00AC03F8">
      <w:r w:rsidRPr="00756747">
        <w:t xml:space="preserve">Mercer makes a </w:t>
      </w:r>
      <w:proofErr w:type="gramStart"/>
      <w:r w:rsidRPr="00756747">
        <w:t>fund based</w:t>
      </w:r>
      <w:proofErr w:type="gramEnd"/>
      <w:r w:rsidRPr="00756747">
        <w:t xml:space="preserve"> charge. Any additional services</w:t>
      </w:r>
      <w:r w:rsidRPr="00A33D49">
        <w:t xml:space="preserve"> provided by </w:t>
      </w:r>
      <w:r>
        <w:t>Mercer</w:t>
      </w:r>
      <w:r w:rsidRPr="00A33D49">
        <w:t xml:space="preserve"> will be remunerated p</w:t>
      </w:r>
      <w:r>
        <w:t xml:space="preserve">rimarily on a time-cost basis, </w:t>
      </w:r>
      <w:r w:rsidRPr="0020455F">
        <w:t>other than performance reporting which is provided for a pre-agreed fee</w:t>
      </w:r>
      <w:r>
        <w:t>.</w:t>
      </w:r>
    </w:p>
    <w:p w14:paraId="6E2E0561" w14:textId="1DFA72A8" w:rsidR="00AC03F8" w:rsidRPr="00A33D49" w:rsidRDefault="00AC03F8" w:rsidP="00AC03F8">
      <w:proofErr w:type="gramStart"/>
      <w:r w:rsidRPr="00A33D49">
        <w:t xml:space="preserve">In particular, </w:t>
      </w:r>
      <w:r>
        <w:t>Mercer</w:t>
      </w:r>
      <w:proofErr w:type="gramEnd"/>
      <w:r w:rsidRPr="00A33D49">
        <w:t xml:space="preserve"> does not receive commission or any other payments in respect of the </w:t>
      </w:r>
      <w:r w:rsidR="00CA38D2">
        <w:t>Scheme</w:t>
      </w:r>
      <w:r w:rsidR="00CA38D2" w:rsidRPr="00A33D49">
        <w:t xml:space="preserve"> </w:t>
      </w:r>
      <w:r w:rsidRPr="00A33D49">
        <w:t xml:space="preserve">that might affect the impartiality of their advice, and as noted below, any discounts negotiated by </w:t>
      </w:r>
      <w:r>
        <w:t>Mercer</w:t>
      </w:r>
      <w:r w:rsidRPr="00A33D49">
        <w:t xml:space="preserve"> with the underlying managers and these discounts are passed on in full to the </w:t>
      </w:r>
      <w:r w:rsidR="00CA38D2">
        <w:t>Scheme</w:t>
      </w:r>
      <w:r w:rsidRPr="00A33D49">
        <w:t xml:space="preserve">. </w:t>
      </w:r>
    </w:p>
    <w:p w14:paraId="76915305" w14:textId="2C0D584C" w:rsidR="00AC03F8" w:rsidRPr="00A33D49" w:rsidRDefault="00AC03F8" w:rsidP="00AC03F8">
      <w:r w:rsidRPr="00A33D49">
        <w:t xml:space="preserve">The Trustees are satisfied that this is </w:t>
      </w:r>
      <w:r>
        <w:t>a reasonable</w:t>
      </w:r>
      <w:r w:rsidRPr="00A33D49">
        <w:t xml:space="preserve"> adviser remuneration structure for the </w:t>
      </w:r>
      <w:r w:rsidR="00CA38D2">
        <w:t>Scheme</w:t>
      </w:r>
      <w:r w:rsidRPr="00A33D49">
        <w:t>.</w:t>
      </w:r>
    </w:p>
    <w:p w14:paraId="402ADF87" w14:textId="77777777" w:rsidR="00AC03F8" w:rsidRDefault="00AC03F8" w:rsidP="00AC03F8">
      <w:r>
        <w:t>Mercer is authorised and regulated by the Financial Conduct Authority (“FCA”).</w:t>
      </w:r>
    </w:p>
    <w:p w14:paraId="47CE097F" w14:textId="77777777" w:rsidR="00AC03F8" w:rsidRDefault="003D4CE7" w:rsidP="00AC03F8">
      <w:pPr>
        <w:spacing w:before="240"/>
        <w:rPr>
          <w:rStyle w:val="IntenseEmphasis"/>
          <w:rFonts w:ascii="Arial" w:eastAsia="MS Gothic" w:hAnsi="Arial"/>
          <w:i w:val="0"/>
          <w:color w:val="00864A"/>
          <w:sz w:val="24"/>
          <w:szCs w:val="26"/>
        </w:rPr>
      </w:pPr>
      <w:r>
        <w:rPr>
          <w:rStyle w:val="IntenseEmphasis"/>
          <w:rFonts w:ascii="Arial" w:eastAsia="MS Gothic" w:hAnsi="Arial"/>
          <w:i w:val="0"/>
          <w:color w:val="00864A"/>
          <w:sz w:val="24"/>
          <w:szCs w:val="26"/>
        </w:rPr>
        <w:t>Arrangement with Investment Managers</w:t>
      </w:r>
    </w:p>
    <w:p w14:paraId="464F239B" w14:textId="77777777" w:rsidR="003D4CE7" w:rsidRPr="00902EB7" w:rsidRDefault="003D4CE7" w:rsidP="003D4CE7">
      <w:r w:rsidRPr="00EC4116">
        <w:t xml:space="preserve">The Trustees are a </w:t>
      </w:r>
      <w:proofErr w:type="gramStart"/>
      <w:r w:rsidRPr="00EC4116">
        <w:t>long term</w:t>
      </w:r>
      <w:proofErr w:type="gramEnd"/>
      <w:r w:rsidRPr="00EC4116">
        <w:t xml:space="preserve"> investor and do not look to change the investment arrangements on a frequent basis. For the invested funds, there is no set duration for the </w:t>
      </w:r>
      <w:r w:rsidRPr="00902EB7">
        <w:t xml:space="preserve">manager appointments.  The Trustees will retain an investment manager unless there is a strategic change to the overall strategy that no longer requires exposure to that asset class or manager. </w:t>
      </w:r>
    </w:p>
    <w:p w14:paraId="6515BC4F" w14:textId="31FC3014" w:rsidR="003D4CE7" w:rsidRPr="00902EB7" w:rsidRDefault="003D4CE7" w:rsidP="003D4CE7">
      <w:r w:rsidRPr="00902EB7">
        <w:t xml:space="preserve">All the funds are open-ended with no set end date for the arrangement.  The fund range </w:t>
      </w:r>
      <w:r w:rsidR="00E0111E">
        <w:t>is</w:t>
      </w:r>
      <w:r w:rsidRPr="00902EB7">
        <w:t xml:space="preserve"> reviewed on at least a triennial basis. A manager’s appointment may be terminated if it is no longer considered to be optimal nor have a </w:t>
      </w:r>
      <w:r w:rsidR="00E0111E">
        <w:t xml:space="preserve">fund in </w:t>
      </w:r>
      <w:r w:rsidRPr="00902EB7">
        <w:t>place in the general fund range.</w:t>
      </w:r>
    </w:p>
    <w:p w14:paraId="0DE61C16" w14:textId="1FE022D4" w:rsidR="003D4CE7" w:rsidRPr="00902EB7" w:rsidRDefault="003D4CE7" w:rsidP="003D4CE7">
      <w:pPr>
        <w:spacing w:line="240" w:lineRule="auto"/>
      </w:pPr>
      <w:r w:rsidRPr="00902EB7">
        <w:t xml:space="preserve">The assets of the </w:t>
      </w:r>
      <w:r w:rsidR="00BA41B5">
        <w:t>Scheme</w:t>
      </w:r>
      <w:r w:rsidR="00BA41B5" w:rsidRPr="00902EB7">
        <w:t xml:space="preserve"> </w:t>
      </w:r>
      <w:r w:rsidRPr="00902EB7">
        <w:t xml:space="preserve">are invested directly with the investment managers as detailed in Section </w:t>
      </w:r>
      <w:r w:rsidR="00CA38D2">
        <w:t>4</w:t>
      </w:r>
      <w:r w:rsidRPr="00902EB7">
        <w:t xml:space="preserve">: Investment Strategy. </w:t>
      </w:r>
    </w:p>
    <w:p w14:paraId="4FD0355C" w14:textId="63F2ED00" w:rsidR="007540DE" w:rsidRDefault="007540DE" w:rsidP="007540DE">
      <w:pPr>
        <w:spacing w:line="240" w:lineRule="auto"/>
      </w:pPr>
      <w:r w:rsidRPr="00902EB7">
        <w:t>The investment managers are appointed by the Trustees based on their capabilities and, therefore, their perceived likelihood of</w:t>
      </w:r>
      <w:r>
        <w:t xml:space="preserve"> achieving the expected return and desired risk characteristics. The Trustees utilises Mercer’s forward-looking manager research ratings in decisions around the selection, retention and </w:t>
      </w:r>
      <w:r w:rsidR="00EB42C9">
        <w:t>removal</w:t>
      </w:r>
      <w:r>
        <w:t xml:space="preserve"> of manager appointments. These ratings are based on Mercer’s assessment of the manager’s idea generation, portfolio construction, implementation and business management.  </w:t>
      </w:r>
    </w:p>
    <w:p w14:paraId="7E9ECC9C" w14:textId="29E54AFF" w:rsidR="00EB42C9" w:rsidRDefault="00EB42C9" w:rsidP="007540DE">
      <w:pPr>
        <w:spacing w:line="240" w:lineRule="auto"/>
      </w:pPr>
      <w:r>
        <w:t>Mercer’s manager research ratings assist with due diligence and questioning managers during presentations to the Trustees.</w:t>
      </w:r>
    </w:p>
    <w:p w14:paraId="019BDB33" w14:textId="77777777" w:rsidR="007540DE" w:rsidRDefault="007540DE" w:rsidP="007540DE">
      <w:pPr>
        <w:spacing w:line="240" w:lineRule="auto"/>
      </w:pPr>
      <w:r>
        <w:t>If the investment objective for a particular manager’s fund changes, the Trustees will review the fund appointment to ensure that it remains appropriate and consistent with the wider Trustees’ investment objectives.</w:t>
      </w:r>
    </w:p>
    <w:p w14:paraId="60B42BD6" w14:textId="34F6D975" w:rsidR="00AC03F8" w:rsidRDefault="003D4CE7" w:rsidP="003D4CE7">
      <w:pPr>
        <w:spacing w:line="240" w:lineRule="auto"/>
      </w:pPr>
      <w:r>
        <w:t xml:space="preserve">The underlying managers and funds invested in by the </w:t>
      </w:r>
      <w:r w:rsidR="00EB42C9">
        <w:t>Scheme</w:t>
      </w:r>
      <w:r>
        <w:t xml:space="preserve"> are determined by the Trustees using a written instruction to the individual investment managers.</w:t>
      </w:r>
    </w:p>
    <w:p w14:paraId="7B029EF5" w14:textId="77777777" w:rsidR="003D4CE7" w:rsidRPr="003D4CE7" w:rsidRDefault="003D4CE7" w:rsidP="003D4CE7">
      <w:pPr>
        <w:pStyle w:val="BodyText"/>
        <w:rPr>
          <w:rFonts w:ascii="Calibri" w:eastAsia="Calibri" w:hAnsi="Calibri"/>
          <w:color w:val="404040"/>
          <w:sz w:val="22"/>
        </w:rPr>
      </w:pPr>
      <w:r w:rsidRPr="003D4CE7">
        <w:rPr>
          <w:rFonts w:ascii="Calibri" w:eastAsia="Calibri" w:hAnsi="Calibri"/>
          <w:color w:val="404040"/>
          <w:sz w:val="22"/>
        </w:rPr>
        <w:t>In particular, the investment managers are responsible for all decisions concerning the selection and de-selection of the individual securities within the portfolios they manage. In the case of multi-asset mandates, the investment managers are responsible for all decisions concerning the allocation to individual asset classes and changes in the allocations to individual asset classes.</w:t>
      </w:r>
    </w:p>
    <w:p w14:paraId="2E9924A0" w14:textId="799B6609" w:rsidR="00F277E8" w:rsidRDefault="003D4CE7" w:rsidP="00F277E8">
      <w:pPr>
        <w:pStyle w:val="BodyText"/>
        <w:rPr>
          <w:rFonts w:ascii="Calibri" w:eastAsia="Calibri" w:hAnsi="Calibri"/>
          <w:color w:val="404040"/>
          <w:sz w:val="22"/>
        </w:rPr>
      </w:pPr>
      <w:proofErr w:type="gramStart"/>
      <w:r w:rsidRPr="003D4CE7">
        <w:rPr>
          <w:rFonts w:ascii="Calibri" w:eastAsia="Calibri" w:hAnsi="Calibri"/>
          <w:color w:val="404040"/>
          <w:sz w:val="22"/>
        </w:rPr>
        <w:t>All of</w:t>
      </w:r>
      <w:proofErr w:type="gramEnd"/>
      <w:r w:rsidRPr="003D4CE7">
        <w:rPr>
          <w:rFonts w:ascii="Calibri" w:eastAsia="Calibri" w:hAnsi="Calibri"/>
          <w:color w:val="404040"/>
          <w:sz w:val="22"/>
        </w:rPr>
        <w:t xml:space="preserve"> the investment managers engaged by the Trustees are authorised and regulated by the FCA.</w:t>
      </w:r>
    </w:p>
    <w:p w14:paraId="6DFF4855" w14:textId="74A4E572" w:rsidR="00EB42C9" w:rsidRPr="00F277E8" w:rsidRDefault="003D4CE7" w:rsidP="00F277E8">
      <w:pPr>
        <w:pStyle w:val="BodyText"/>
        <w:rPr>
          <w:rFonts w:ascii="Calibri" w:eastAsia="Calibri" w:hAnsi="Calibri"/>
          <w:color w:val="404040"/>
          <w:sz w:val="22"/>
        </w:rPr>
      </w:pPr>
      <w:r w:rsidRPr="00F277E8">
        <w:rPr>
          <w:rFonts w:ascii="Calibri" w:eastAsia="Calibri" w:hAnsi="Calibri"/>
          <w:color w:val="404040"/>
          <w:sz w:val="22"/>
        </w:rPr>
        <w:t xml:space="preserve">The investment managers are remunerated by ad valorem charges based on the value of the assets that they manage on behalf of the </w:t>
      </w:r>
      <w:r w:rsidR="00CA38D2">
        <w:rPr>
          <w:rFonts w:ascii="Calibri" w:eastAsia="Calibri" w:hAnsi="Calibri"/>
          <w:color w:val="404040"/>
          <w:sz w:val="22"/>
        </w:rPr>
        <w:t>Scheme</w:t>
      </w:r>
      <w:r w:rsidRPr="00F277E8">
        <w:rPr>
          <w:rFonts w:ascii="Calibri" w:eastAsia="Calibri" w:hAnsi="Calibri"/>
          <w:color w:val="404040"/>
          <w:sz w:val="22"/>
        </w:rPr>
        <w:t>.  The Trustees believe that this is a reasonable basis for remunerating managers.</w:t>
      </w:r>
    </w:p>
    <w:p w14:paraId="24347755" w14:textId="75033CB9" w:rsidR="00EB42C9" w:rsidRPr="00EC4116" w:rsidRDefault="003D4CE7" w:rsidP="00EB42C9">
      <w:pPr>
        <w:spacing w:before="120" w:after="0"/>
      </w:pPr>
      <w:r w:rsidRPr="00EC4116">
        <w:t xml:space="preserve">None of the underlying managers in which the </w:t>
      </w:r>
      <w:r w:rsidR="00CA38D2">
        <w:t>Scheme’s</w:t>
      </w:r>
      <w:r w:rsidR="00CA38D2" w:rsidRPr="00EC4116">
        <w:t xml:space="preserve"> </w:t>
      </w:r>
      <w:r w:rsidRPr="00EC4116">
        <w:t xml:space="preserve">assets are invested have </w:t>
      </w:r>
      <w:proofErr w:type="gramStart"/>
      <w:r w:rsidRPr="00EC4116">
        <w:t>performance based</w:t>
      </w:r>
      <w:proofErr w:type="gramEnd"/>
      <w:r w:rsidRPr="00EC4116">
        <w:t xml:space="preserve"> fees which could encourage the manager to make short term investment decisio</w:t>
      </w:r>
      <w:r w:rsidR="00EB42C9">
        <w:t>ns to hit their profit targets.</w:t>
      </w:r>
    </w:p>
    <w:p w14:paraId="0FBB0D7E" w14:textId="77777777" w:rsidR="003D4CE7" w:rsidRPr="00EC4116" w:rsidRDefault="003D4CE7" w:rsidP="00EB42C9">
      <w:pPr>
        <w:spacing w:before="120" w:after="0"/>
      </w:pPr>
      <w:r w:rsidRPr="00EC4116">
        <w:t xml:space="preserve">The Trustees therefore consider that the method of remunerating fund managers is consistent with incentivising them to make decisions based on assessments of medium to long-term financial and non-financial performance of an issuer of debt or equity. By encouraging a medium to long-term view, it will in turn encourage the investment managers to engage with issuers of debt or equity </w:t>
      </w:r>
      <w:proofErr w:type="gramStart"/>
      <w:r w:rsidRPr="00EC4116">
        <w:t>in order to</w:t>
      </w:r>
      <w:proofErr w:type="gramEnd"/>
      <w:r w:rsidRPr="00EC4116">
        <w:t xml:space="preserve"> improve their performance in the medium to long-term.</w:t>
      </w:r>
    </w:p>
    <w:p w14:paraId="160163FB" w14:textId="183D7E38" w:rsidR="003D4CE7" w:rsidRDefault="003D4CE7" w:rsidP="00EB42C9">
      <w:pPr>
        <w:spacing w:before="120" w:after="0"/>
      </w:pPr>
      <w:r w:rsidRPr="00EC4116">
        <w:t xml:space="preserve">The Trustees accept that they cannot influence the charging structure of the pooled funds in which the </w:t>
      </w:r>
      <w:r w:rsidR="00CA38D2">
        <w:t>Scheme</w:t>
      </w:r>
      <w:r w:rsidR="00CA38D2" w:rsidRPr="00EC4116">
        <w:t xml:space="preserve"> </w:t>
      </w:r>
      <w:r w:rsidRPr="00EC4116">
        <w:t xml:space="preserve">is </w:t>
      </w:r>
      <w:proofErr w:type="gramStart"/>
      <w:r w:rsidRPr="00EC4116">
        <w:t>invested, but</w:t>
      </w:r>
      <w:proofErr w:type="gramEnd"/>
      <w:r w:rsidRPr="00EC4116">
        <w:t xml:space="preserve"> is satisfied that the ad-valorem charges for the different underlying funds are clear and are consistent with each fund’s stated characteristics. The Trustees are therefore satisfied that this the most appropriate basis for remunerating the underlying investment managers and is consistent with the Trustees policies as set out in this SIP.</w:t>
      </w:r>
    </w:p>
    <w:p w14:paraId="54E9E0DA" w14:textId="21C9D246" w:rsidR="00E637E7" w:rsidRDefault="00FC225E" w:rsidP="00E637E7">
      <w:pPr>
        <w:pStyle w:val="Heading1"/>
        <w:numPr>
          <w:ilvl w:val="0"/>
          <w:numId w:val="28"/>
        </w:numPr>
        <w:ind w:left="0" w:hanging="436"/>
        <w:rPr>
          <w:rFonts w:hint="eastAsia"/>
        </w:rPr>
      </w:pPr>
      <w:r>
        <w:rPr>
          <w:rFonts w:hint="eastAsia"/>
        </w:rPr>
        <w:br w:type="page"/>
      </w:r>
      <w:bookmarkStart w:id="45" w:name="_Toc146806582"/>
      <w:r w:rsidR="00E637E7">
        <w:t>Investment Decisions</w:t>
      </w:r>
      <w:bookmarkEnd w:id="45"/>
      <w:r w:rsidR="00E637E7">
        <w:t xml:space="preserve"> </w:t>
      </w:r>
    </w:p>
    <w:p w14:paraId="04889DA8" w14:textId="01DB4B71" w:rsidR="00A409B3" w:rsidRDefault="00A409B3" w:rsidP="00E637E7">
      <w:pPr>
        <w:pStyle w:val="Heading1"/>
        <w:rPr>
          <w:rFonts w:hint="eastAsia"/>
        </w:rPr>
      </w:pPr>
      <w:bookmarkStart w:id="46" w:name="_Toc146806583"/>
      <w:r>
        <w:t xml:space="preserve">The </w:t>
      </w:r>
      <w:r w:rsidR="00F14CDC">
        <w:t>Trustees</w:t>
      </w:r>
      <w:r>
        <w:t xml:space="preserve"> distinguish between </w:t>
      </w:r>
      <w:r w:rsidR="000F2456">
        <w:t xml:space="preserve">three types of investment decision: strategic, tactical and </w:t>
      </w:r>
      <w:proofErr w:type="gramStart"/>
      <w:r w:rsidR="000F2456">
        <w:t>stock-level</w:t>
      </w:r>
      <w:proofErr w:type="gramEnd"/>
      <w:r>
        <w:t>:</w:t>
      </w:r>
      <w:bookmarkEnd w:id="46"/>
    </w:p>
    <w:p w14:paraId="0814E9F6" w14:textId="77777777" w:rsidR="00A409B3" w:rsidRPr="00182859" w:rsidRDefault="00AC03F8" w:rsidP="00182859">
      <w:pPr>
        <w:pStyle w:val="Heading2"/>
        <w:rPr>
          <w:rStyle w:val="IntenseEmphasis"/>
          <w:b/>
          <w:bCs/>
          <w:i w:val="0"/>
          <w:iCs w:val="0"/>
          <w:color w:val="00864A"/>
        </w:rPr>
      </w:pPr>
      <w:bookmarkStart w:id="47" w:name="_Toc497143277"/>
      <w:bookmarkStart w:id="48" w:name="_Toc497303471"/>
      <w:bookmarkStart w:id="49" w:name="_Toc146806584"/>
      <w:r>
        <w:rPr>
          <w:rStyle w:val="IntenseEmphasis"/>
          <w:b/>
          <w:bCs/>
          <w:i w:val="0"/>
          <w:iCs w:val="0"/>
          <w:color w:val="00864A"/>
        </w:rPr>
        <w:t>Strategic Investment D</w:t>
      </w:r>
      <w:r w:rsidR="00A409B3" w:rsidRPr="00182859">
        <w:rPr>
          <w:rStyle w:val="IntenseEmphasis"/>
          <w:b/>
          <w:bCs/>
          <w:i w:val="0"/>
          <w:iCs w:val="0"/>
          <w:color w:val="00864A"/>
        </w:rPr>
        <w:t>ecisions</w:t>
      </w:r>
      <w:bookmarkEnd w:id="47"/>
      <w:bookmarkEnd w:id="48"/>
      <w:bookmarkEnd w:id="49"/>
    </w:p>
    <w:p w14:paraId="25603120" w14:textId="77777777" w:rsidR="000F2456" w:rsidRDefault="000F2456" w:rsidP="000F2456">
      <w:r>
        <w:t>These decisions are long-term in nature and are driven by an understanding of the objectives, needs and liabilities of the Scheme.</w:t>
      </w:r>
    </w:p>
    <w:p w14:paraId="76495949" w14:textId="77777777" w:rsidR="000F2456" w:rsidRPr="00386044" w:rsidRDefault="000F2456" w:rsidP="000F2456">
      <w:r>
        <w:t xml:space="preserve">The Trustees take all such decisions themselves.  </w:t>
      </w:r>
      <w:r w:rsidRPr="00386044">
        <w:t>They do so after receiving written advice from their Investment Adviser and consulting with the Sponsoring Employer.  Examples of such decisions and of tasks relating to the implementation of these decisions include the following:</w:t>
      </w:r>
    </w:p>
    <w:p w14:paraId="76F33C5A" w14:textId="77777777" w:rsidR="000F2456" w:rsidRPr="006B7260" w:rsidRDefault="000F2456" w:rsidP="000F2456">
      <w:pPr>
        <w:pStyle w:val="ListBullet"/>
        <w:numPr>
          <w:ilvl w:val="0"/>
          <w:numId w:val="12"/>
        </w:numPr>
        <w:rPr>
          <w:rFonts w:ascii="Calibri" w:eastAsia="Calibri" w:hAnsi="Calibri"/>
          <w:color w:val="404040"/>
          <w:sz w:val="22"/>
        </w:rPr>
      </w:pPr>
      <w:r w:rsidRPr="006B7260">
        <w:rPr>
          <w:rFonts w:ascii="Calibri" w:eastAsia="Calibri" w:hAnsi="Calibri"/>
          <w:color w:val="404040"/>
          <w:sz w:val="22"/>
        </w:rPr>
        <w:t>Setting investment objectives</w:t>
      </w:r>
    </w:p>
    <w:p w14:paraId="6C5F4C31" w14:textId="77777777" w:rsidR="000F2456" w:rsidRPr="006B7260" w:rsidRDefault="000F2456" w:rsidP="000F2456">
      <w:pPr>
        <w:pStyle w:val="ListBullet"/>
        <w:numPr>
          <w:ilvl w:val="0"/>
          <w:numId w:val="12"/>
        </w:numPr>
        <w:rPr>
          <w:rFonts w:ascii="Calibri" w:eastAsia="Calibri" w:hAnsi="Calibri"/>
          <w:color w:val="404040"/>
          <w:sz w:val="22"/>
        </w:rPr>
      </w:pPr>
      <w:r w:rsidRPr="006B7260">
        <w:rPr>
          <w:rFonts w:ascii="Calibri" w:eastAsia="Calibri" w:hAnsi="Calibri"/>
          <w:color w:val="404040"/>
          <w:sz w:val="22"/>
        </w:rPr>
        <w:t>Determining the split between the growth and the stabilising portfolios</w:t>
      </w:r>
    </w:p>
    <w:p w14:paraId="1EFAEB9D" w14:textId="77777777" w:rsidR="000F2456" w:rsidRPr="006B7260" w:rsidRDefault="000F2456" w:rsidP="000F2456">
      <w:pPr>
        <w:pStyle w:val="ListBullet"/>
        <w:numPr>
          <w:ilvl w:val="0"/>
          <w:numId w:val="12"/>
        </w:numPr>
        <w:rPr>
          <w:rFonts w:ascii="Calibri" w:eastAsia="Calibri" w:hAnsi="Calibri"/>
          <w:color w:val="404040"/>
          <w:sz w:val="22"/>
        </w:rPr>
      </w:pPr>
      <w:r w:rsidRPr="006B7260">
        <w:rPr>
          <w:rFonts w:ascii="Calibri" w:eastAsia="Calibri" w:hAnsi="Calibri"/>
          <w:color w:val="404040"/>
          <w:sz w:val="22"/>
        </w:rPr>
        <w:t>Determining the allocation to asset classes within the growth and stabilising portfolios</w:t>
      </w:r>
    </w:p>
    <w:p w14:paraId="1B2DAA99" w14:textId="77777777" w:rsidR="000F2456" w:rsidRPr="006B7260" w:rsidRDefault="000F2456" w:rsidP="000F2456">
      <w:pPr>
        <w:pStyle w:val="ListBullet"/>
        <w:numPr>
          <w:ilvl w:val="0"/>
          <w:numId w:val="12"/>
        </w:numPr>
        <w:rPr>
          <w:rFonts w:ascii="Calibri" w:eastAsia="Calibri" w:hAnsi="Calibri"/>
          <w:color w:val="404040"/>
          <w:sz w:val="22"/>
        </w:rPr>
      </w:pPr>
      <w:r w:rsidRPr="006B7260">
        <w:rPr>
          <w:rFonts w:ascii="Calibri" w:eastAsia="Calibri" w:hAnsi="Calibri"/>
          <w:color w:val="404040"/>
          <w:sz w:val="22"/>
        </w:rPr>
        <w:t>Determining the Scheme benchmark</w:t>
      </w:r>
    </w:p>
    <w:p w14:paraId="41F66AC7" w14:textId="77777777" w:rsidR="000F2456" w:rsidRPr="006B7260" w:rsidRDefault="000F2456" w:rsidP="000F2456">
      <w:pPr>
        <w:pStyle w:val="ListBullet"/>
        <w:numPr>
          <w:ilvl w:val="0"/>
          <w:numId w:val="12"/>
        </w:numPr>
        <w:rPr>
          <w:rFonts w:ascii="Calibri" w:eastAsia="Calibri" w:hAnsi="Calibri"/>
          <w:color w:val="404040"/>
          <w:sz w:val="22"/>
        </w:rPr>
      </w:pPr>
      <w:r w:rsidRPr="006B7260">
        <w:rPr>
          <w:rFonts w:ascii="Calibri" w:eastAsia="Calibri" w:hAnsi="Calibri"/>
          <w:color w:val="404040"/>
          <w:sz w:val="22"/>
        </w:rPr>
        <w:t>Reviewing the investment objectives and strategic asset allocation</w:t>
      </w:r>
    </w:p>
    <w:p w14:paraId="256B1ACD" w14:textId="77777777" w:rsidR="00A409B3" w:rsidRPr="006B7260" w:rsidRDefault="00A409B3" w:rsidP="000F2456">
      <w:pPr>
        <w:pStyle w:val="ListParagraph"/>
        <w:spacing w:line="240" w:lineRule="auto"/>
        <w:ind w:left="360"/>
      </w:pPr>
    </w:p>
    <w:p w14:paraId="18F00164" w14:textId="77777777" w:rsidR="00A409B3" w:rsidRPr="00182859" w:rsidRDefault="00A409B3" w:rsidP="00182859">
      <w:pPr>
        <w:pStyle w:val="Heading2"/>
        <w:rPr>
          <w:rStyle w:val="IntenseEmphasis"/>
          <w:b/>
          <w:bCs/>
          <w:i w:val="0"/>
          <w:iCs w:val="0"/>
          <w:color w:val="00864A"/>
        </w:rPr>
      </w:pPr>
      <w:bookmarkStart w:id="50" w:name="_Toc497143278"/>
      <w:bookmarkStart w:id="51" w:name="_Toc497303472"/>
      <w:bookmarkStart w:id="52" w:name="_Toc146806585"/>
      <w:r w:rsidRPr="00182859">
        <w:rPr>
          <w:rStyle w:val="IntenseEmphasis"/>
          <w:b/>
          <w:bCs/>
          <w:i w:val="0"/>
          <w:iCs w:val="0"/>
          <w:color w:val="00864A"/>
        </w:rPr>
        <w:t>Tactical investment decisions</w:t>
      </w:r>
      <w:bookmarkEnd w:id="50"/>
      <w:bookmarkEnd w:id="51"/>
      <w:bookmarkEnd w:id="52"/>
      <w:r w:rsidRPr="00182859">
        <w:rPr>
          <w:rStyle w:val="IntenseEmphasis"/>
          <w:b/>
          <w:bCs/>
          <w:i w:val="0"/>
          <w:iCs w:val="0"/>
          <w:color w:val="00864A"/>
        </w:rPr>
        <w:t xml:space="preserve">  </w:t>
      </w:r>
    </w:p>
    <w:p w14:paraId="4A7227C7" w14:textId="77777777" w:rsidR="000F2456" w:rsidRDefault="000F2456" w:rsidP="000F2456">
      <w:r>
        <w:t>These decisions are short-term and based on expectations of near-term market movements.  Such decisions may involve deviating temporarily from the strategic asset allocation and may require the timing of entry into, or exit from, an investment market or asset class.</w:t>
      </w:r>
    </w:p>
    <w:p w14:paraId="186CDDF4" w14:textId="77777777" w:rsidR="000F2456" w:rsidRDefault="000F2456" w:rsidP="000F2456">
      <w:r>
        <w:t>These decisions are the responsibility of the Trustees.   However, where such decisions are made within a pooled fund, they are the responsibility of the investment manager of the fund.</w:t>
      </w:r>
    </w:p>
    <w:p w14:paraId="238B9942" w14:textId="77777777" w:rsidR="000D41EB" w:rsidRDefault="009D2FA2" w:rsidP="006D0761">
      <w:pPr>
        <w:spacing w:line="240" w:lineRule="auto"/>
        <w:rPr>
          <w:rStyle w:val="IntenseEmphasis"/>
          <w:rFonts w:ascii="Arial" w:eastAsia="MS Gothic" w:hAnsi="Arial"/>
          <w:i w:val="0"/>
          <w:iCs w:val="0"/>
          <w:color w:val="00864A"/>
          <w:sz w:val="24"/>
          <w:szCs w:val="26"/>
        </w:rPr>
      </w:pPr>
      <w:r>
        <w:rPr>
          <w:rStyle w:val="IntenseEmphasis"/>
          <w:rFonts w:ascii="Arial" w:eastAsia="MS Gothic" w:hAnsi="Arial"/>
          <w:i w:val="0"/>
          <w:iCs w:val="0"/>
          <w:color w:val="00864A"/>
          <w:sz w:val="24"/>
          <w:szCs w:val="26"/>
        </w:rPr>
        <w:t xml:space="preserve">Stock Selection Decision </w:t>
      </w:r>
    </w:p>
    <w:p w14:paraId="3D83349F" w14:textId="77777777" w:rsidR="009D2FA2" w:rsidRDefault="009D2FA2" w:rsidP="009D2FA2">
      <w:r>
        <w:t>All such decisions are the responsibility of the investment managers of the pooled funds in which the Scheme is invested.</w:t>
      </w:r>
    </w:p>
    <w:p w14:paraId="6D8681B7" w14:textId="77777777" w:rsidR="009D2FA2" w:rsidRDefault="009D2FA2" w:rsidP="009D2FA2">
      <w:r>
        <w:rPr>
          <w:rStyle w:val="IntenseEmphasis"/>
          <w:rFonts w:ascii="Arial" w:eastAsia="MS Gothic" w:hAnsi="Arial"/>
          <w:i w:val="0"/>
          <w:iCs w:val="0"/>
          <w:color w:val="00864A"/>
          <w:sz w:val="24"/>
          <w:szCs w:val="26"/>
        </w:rPr>
        <w:t>Types of Investment to be Held</w:t>
      </w:r>
    </w:p>
    <w:p w14:paraId="5C2B2E08" w14:textId="77777777" w:rsidR="009D2FA2" w:rsidRDefault="009D2FA2" w:rsidP="009D2FA2">
      <w:r>
        <w:t>The Trustees are permitted to invest across a wide range of asset classes, including, but not limited to, the following:</w:t>
      </w:r>
    </w:p>
    <w:p w14:paraId="7F91E01D" w14:textId="77777777" w:rsidR="009D2FA2" w:rsidRPr="007540DE" w:rsidRDefault="009D2FA2" w:rsidP="009D2FA2">
      <w:pPr>
        <w:pStyle w:val="ListBullet"/>
        <w:rPr>
          <w:rFonts w:ascii="Calibri" w:eastAsia="Calibri" w:hAnsi="Calibri"/>
          <w:color w:val="404040"/>
          <w:sz w:val="22"/>
        </w:rPr>
      </w:pPr>
      <w:r w:rsidRPr="007540DE">
        <w:rPr>
          <w:rFonts w:ascii="Calibri" w:eastAsia="Calibri" w:hAnsi="Calibri"/>
          <w:color w:val="404040"/>
          <w:sz w:val="22"/>
        </w:rPr>
        <w:t>UK and overseas equities</w:t>
      </w:r>
    </w:p>
    <w:p w14:paraId="1A4FB85E" w14:textId="77777777" w:rsidR="009D2FA2" w:rsidRPr="007540DE" w:rsidRDefault="009D2FA2" w:rsidP="009D2FA2">
      <w:pPr>
        <w:pStyle w:val="ListBullet"/>
        <w:rPr>
          <w:rFonts w:ascii="Calibri" w:eastAsia="Calibri" w:hAnsi="Calibri"/>
          <w:color w:val="404040"/>
          <w:sz w:val="22"/>
        </w:rPr>
      </w:pPr>
      <w:r w:rsidRPr="007540DE">
        <w:rPr>
          <w:rFonts w:ascii="Calibri" w:eastAsia="Calibri" w:hAnsi="Calibri"/>
          <w:color w:val="404040"/>
          <w:sz w:val="22"/>
        </w:rPr>
        <w:t>UK and overseas government bonds, fixed and inflation-linked</w:t>
      </w:r>
    </w:p>
    <w:p w14:paraId="7F609D20" w14:textId="77777777" w:rsidR="009D2FA2" w:rsidRPr="007540DE" w:rsidRDefault="009D2FA2" w:rsidP="009D2FA2">
      <w:pPr>
        <w:pStyle w:val="ListBullet"/>
        <w:rPr>
          <w:rFonts w:ascii="Calibri" w:eastAsia="Calibri" w:hAnsi="Calibri"/>
          <w:color w:val="404040"/>
          <w:sz w:val="22"/>
        </w:rPr>
      </w:pPr>
      <w:r w:rsidRPr="007540DE">
        <w:rPr>
          <w:rFonts w:ascii="Calibri" w:eastAsia="Calibri" w:hAnsi="Calibri"/>
          <w:color w:val="404040"/>
          <w:sz w:val="22"/>
        </w:rPr>
        <w:t>UK and overseas corporate bonds</w:t>
      </w:r>
    </w:p>
    <w:p w14:paraId="3878D08F" w14:textId="77777777" w:rsidR="009D2FA2" w:rsidRPr="007540DE" w:rsidRDefault="009D2FA2" w:rsidP="009D2FA2">
      <w:pPr>
        <w:pStyle w:val="ListBullet"/>
        <w:rPr>
          <w:rFonts w:ascii="Calibri" w:eastAsia="Calibri" w:hAnsi="Calibri"/>
          <w:color w:val="404040"/>
          <w:sz w:val="22"/>
        </w:rPr>
      </w:pPr>
      <w:r w:rsidRPr="007540DE">
        <w:rPr>
          <w:rFonts w:ascii="Calibri" w:eastAsia="Calibri" w:hAnsi="Calibri"/>
          <w:color w:val="404040"/>
          <w:sz w:val="22"/>
        </w:rPr>
        <w:t>Convertible bonds</w:t>
      </w:r>
    </w:p>
    <w:p w14:paraId="0DE5C236" w14:textId="77777777" w:rsidR="009D2FA2" w:rsidRPr="007540DE" w:rsidRDefault="009D2FA2" w:rsidP="009D2FA2">
      <w:pPr>
        <w:pStyle w:val="ListBullet"/>
        <w:rPr>
          <w:rFonts w:ascii="Calibri" w:eastAsia="Calibri" w:hAnsi="Calibri"/>
          <w:color w:val="404040"/>
          <w:sz w:val="22"/>
        </w:rPr>
      </w:pPr>
      <w:r w:rsidRPr="007540DE">
        <w:rPr>
          <w:rFonts w:ascii="Calibri" w:eastAsia="Calibri" w:hAnsi="Calibri"/>
          <w:color w:val="404040"/>
          <w:sz w:val="22"/>
        </w:rPr>
        <w:t>Property</w:t>
      </w:r>
    </w:p>
    <w:p w14:paraId="4258574D" w14:textId="77777777" w:rsidR="009D2FA2" w:rsidRPr="007540DE" w:rsidRDefault="009D2FA2" w:rsidP="009D2FA2">
      <w:pPr>
        <w:pStyle w:val="ListBullet"/>
        <w:rPr>
          <w:rFonts w:ascii="Calibri" w:eastAsia="Calibri" w:hAnsi="Calibri"/>
          <w:color w:val="404040"/>
          <w:sz w:val="22"/>
        </w:rPr>
      </w:pPr>
      <w:r w:rsidRPr="007540DE">
        <w:rPr>
          <w:rFonts w:ascii="Calibri" w:eastAsia="Calibri" w:hAnsi="Calibri"/>
          <w:color w:val="404040"/>
          <w:sz w:val="22"/>
        </w:rPr>
        <w:t>Commodities</w:t>
      </w:r>
    </w:p>
    <w:p w14:paraId="5219FBF7" w14:textId="77777777" w:rsidR="009D2FA2" w:rsidRPr="007540DE" w:rsidRDefault="009D2FA2" w:rsidP="009D2FA2">
      <w:pPr>
        <w:pStyle w:val="ListBullet"/>
        <w:rPr>
          <w:rFonts w:ascii="Calibri" w:eastAsia="Calibri" w:hAnsi="Calibri"/>
          <w:color w:val="404040"/>
          <w:sz w:val="22"/>
        </w:rPr>
      </w:pPr>
      <w:r w:rsidRPr="007540DE">
        <w:rPr>
          <w:rFonts w:ascii="Calibri" w:eastAsia="Calibri" w:hAnsi="Calibri"/>
          <w:color w:val="404040"/>
          <w:sz w:val="22"/>
        </w:rPr>
        <w:t>Hedge Funds</w:t>
      </w:r>
    </w:p>
    <w:p w14:paraId="49E40826" w14:textId="77777777" w:rsidR="009D2FA2" w:rsidRPr="007540DE" w:rsidRDefault="009D2FA2" w:rsidP="009D2FA2">
      <w:pPr>
        <w:pStyle w:val="ListBullet"/>
        <w:rPr>
          <w:rFonts w:ascii="Calibri" w:eastAsia="Calibri" w:hAnsi="Calibri"/>
          <w:color w:val="404040"/>
          <w:sz w:val="22"/>
        </w:rPr>
      </w:pPr>
      <w:r w:rsidRPr="007540DE">
        <w:rPr>
          <w:rFonts w:ascii="Calibri" w:eastAsia="Calibri" w:hAnsi="Calibri"/>
          <w:color w:val="404040"/>
          <w:sz w:val="22"/>
        </w:rPr>
        <w:t>Private equity</w:t>
      </w:r>
    </w:p>
    <w:p w14:paraId="4C197657" w14:textId="77777777" w:rsidR="009D2FA2" w:rsidRPr="007540DE" w:rsidRDefault="009D2FA2" w:rsidP="009D2FA2">
      <w:pPr>
        <w:pStyle w:val="ListBullet"/>
        <w:rPr>
          <w:rFonts w:ascii="Calibri" w:eastAsia="Calibri" w:hAnsi="Calibri"/>
          <w:color w:val="404040"/>
          <w:sz w:val="22"/>
        </w:rPr>
      </w:pPr>
      <w:r w:rsidRPr="007540DE">
        <w:rPr>
          <w:rFonts w:ascii="Calibri" w:eastAsia="Calibri" w:hAnsi="Calibri"/>
          <w:color w:val="404040"/>
          <w:sz w:val="22"/>
        </w:rPr>
        <w:t>High yield bonds</w:t>
      </w:r>
    </w:p>
    <w:p w14:paraId="07DDCDF6" w14:textId="77777777" w:rsidR="009D2FA2" w:rsidRPr="007540DE" w:rsidRDefault="009D2FA2" w:rsidP="009D2FA2">
      <w:pPr>
        <w:pStyle w:val="ListBullet"/>
        <w:rPr>
          <w:rFonts w:ascii="Calibri" w:eastAsia="Calibri" w:hAnsi="Calibri"/>
          <w:color w:val="404040"/>
          <w:sz w:val="22"/>
        </w:rPr>
      </w:pPr>
      <w:r w:rsidRPr="007540DE">
        <w:rPr>
          <w:rFonts w:ascii="Calibri" w:eastAsia="Calibri" w:hAnsi="Calibri"/>
          <w:color w:val="404040"/>
          <w:sz w:val="22"/>
        </w:rPr>
        <w:t>Emerging market debt</w:t>
      </w:r>
    </w:p>
    <w:p w14:paraId="63330E7D" w14:textId="77777777" w:rsidR="009D2FA2" w:rsidRPr="007540DE" w:rsidRDefault="009D2FA2" w:rsidP="009D2FA2">
      <w:pPr>
        <w:pStyle w:val="ListBullet"/>
        <w:rPr>
          <w:rFonts w:ascii="Calibri" w:eastAsia="Calibri" w:hAnsi="Calibri"/>
          <w:color w:val="404040"/>
          <w:sz w:val="22"/>
        </w:rPr>
      </w:pPr>
      <w:r w:rsidRPr="007540DE">
        <w:rPr>
          <w:rFonts w:ascii="Calibri" w:eastAsia="Calibri" w:hAnsi="Calibri"/>
          <w:color w:val="404040"/>
          <w:sz w:val="22"/>
        </w:rPr>
        <w:t>Diversified growth</w:t>
      </w:r>
    </w:p>
    <w:p w14:paraId="38BFAD20" w14:textId="77777777" w:rsidR="009D2FA2" w:rsidRDefault="009D2FA2" w:rsidP="009D2FA2">
      <w:pPr>
        <w:pStyle w:val="ListBullet"/>
        <w:rPr>
          <w:rFonts w:ascii="Calibri" w:eastAsia="Calibri" w:hAnsi="Calibri"/>
          <w:color w:val="404040"/>
          <w:sz w:val="22"/>
        </w:rPr>
      </w:pPr>
      <w:r w:rsidRPr="007540DE">
        <w:rPr>
          <w:rFonts w:ascii="Calibri" w:eastAsia="Calibri" w:hAnsi="Calibri"/>
          <w:color w:val="404040"/>
          <w:sz w:val="22"/>
        </w:rPr>
        <w:t>Cash</w:t>
      </w:r>
    </w:p>
    <w:p w14:paraId="2C6164B1" w14:textId="77777777" w:rsidR="007540DE" w:rsidRPr="007540DE" w:rsidRDefault="007540DE" w:rsidP="007540DE">
      <w:pPr>
        <w:pStyle w:val="ListBullet"/>
        <w:numPr>
          <w:ilvl w:val="0"/>
          <w:numId w:val="0"/>
        </w:numPr>
        <w:rPr>
          <w:rFonts w:ascii="Calibri" w:eastAsia="Calibri" w:hAnsi="Calibri"/>
          <w:color w:val="404040"/>
          <w:sz w:val="22"/>
        </w:rPr>
      </w:pPr>
    </w:p>
    <w:p w14:paraId="2F609964" w14:textId="77777777" w:rsidR="009D2FA2" w:rsidRDefault="009D2FA2" w:rsidP="009D2FA2">
      <w:r>
        <w:t xml:space="preserve">All the funds in which the Scheme invests are pooled and unitised.  The use of derivatives is permitted by the guidelines that apply to the pooled funds.  </w:t>
      </w:r>
    </w:p>
    <w:p w14:paraId="27E968EC" w14:textId="77777777" w:rsidR="000D41EB" w:rsidRDefault="009D2FA2" w:rsidP="007540DE">
      <w:r w:rsidRPr="00442474">
        <w:t xml:space="preserve">The Trustees </w:t>
      </w:r>
      <w:r w:rsidRPr="00FA3208">
        <w:t xml:space="preserve">recognise the benefits of diversification across growth asset classes, as well as within them, in reducing the risk that results from investing in any one </w:t>
      </w:r>
      <w:proofErr w:type="gramStart"/>
      <w:r w:rsidRPr="00FA3208">
        <w:t>particular market</w:t>
      </w:r>
      <w:proofErr w:type="gramEnd"/>
      <w:r w:rsidRPr="00FA3208">
        <w:t xml:space="preserve">.  Where they consider it advisable to do so, the Trustees have appointed investment managers to select and manage the allocations across growth asset classes, </w:t>
      </w:r>
      <w:proofErr w:type="gramStart"/>
      <w:r w:rsidRPr="00FA3208">
        <w:t>in particular where</w:t>
      </w:r>
      <w:proofErr w:type="gramEnd"/>
      <w:r w:rsidRPr="00FA3208">
        <w:t xml:space="preserve"> it would not be practical (or appropriate) for the Trustees to commit the resources necessary to make these decisions themselves.</w:t>
      </w:r>
    </w:p>
    <w:p w14:paraId="406AE62C" w14:textId="77777777" w:rsidR="00DA0895" w:rsidRDefault="00FC225E" w:rsidP="00C73278">
      <w:pPr>
        <w:pStyle w:val="Heading1"/>
        <w:numPr>
          <w:ilvl w:val="0"/>
          <w:numId w:val="28"/>
        </w:numPr>
        <w:ind w:left="0" w:hanging="436"/>
        <w:rPr>
          <w:rFonts w:hint="eastAsia"/>
        </w:rPr>
      </w:pPr>
      <w:bookmarkStart w:id="53" w:name="_Toc497143279"/>
      <w:r>
        <w:rPr>
          <w:rFonts w:hint="eastAsia"/>
        </w:rPr>
        <w:br w:type="page"/>
      </w:r>
      <w:bookmarkStart w:id="54" w:name="_Toc146806586"/>
      <w:r w:rsidR="00DA0895">
        <w:t>Investment Objectives</w:t>
      </w:r>
      <w:bookmarkEnd w:id="53"/>
      <w:bookmarkEnd w:id="54"/>
    </w:p>
    <w:p w14:paraId="6EF5855B" w14:textId="77777777" w:rsidR="009D381D" w:rsidRDefault="009D381D" w:rsidP="009D381D">
      <w:pPr>
        <w:spacing w:after="0" w:line="240" w:lineRule="auto"/>
      </w:pPr>
    </w:p>
    <w:p w14:paraId="5C09DCBB" w14:textId="7FC385A1" w:rsidR="009E4941" w:rsidRDefault="009E4941" w:rsidP="00DA0895">
      <w:pPr>
        <w:spacing w:line="240" w:lineRule="auto"/>
      </w:pPr>
      <w:r w:rsidRPr="009E4941">
        <w:t>The Trustees’ primary investment objective for the Scheme is to ensure the Scheme's assets and future contributions are invested in such a manner that the benefits due to members and their beneficiaries can be paid from the Scheme as they arise</w:t>
      </w:r>
      <w:r w:rsidR="00834689">
        <w:t>.</w:t>
      </w:r>
    </w:p>
    <w:p w14:paraId="0165E8B3" w14:textId="77777777" w:rsidR="00972993" w:rsidRDefault="008575C8" w:rsidP="00DA0895">
      <w:pPr>
        <w:spacing w:line="240" w:lineRule="auto"/>
      </w:pPr>
      <w:proofErr w:type="gramStart"/>
      <w:r>
        <w:t>In order for</w:t>
      </w:r>
      <w:proofErr w:type="gramEnd"/>
      <w:r>
        <w:t xml:space="preserve"> </w:t>
      </w:r>
      <w:r w:rsidR="00DD4660">
        <w:t xml:space="preserve">the </w:t>
      </w:r>
      <w:r w:rsidR="00DD4660" w:rsidRPr="00832BD1">
        <w:t>Trustees</w:t>
      </w:r>
      <w:r w:rsidR="00DA0895" w:rsidRPr="00832BD1">
        <w:t xml:space="preserve"> to ensure that they can meet their obligations to the beneficiaries both in the short and long term</w:t>
      </w:r>
      <w:r>
        <w:t xml:space="preserve"> without recourse </w:t>
      </w:r>
      <w:r w:rsidR="004F249F">
        <w:t xml:space="preserve">to </w:t>
      </w:r>
      <w:r>
        <w:t xml:space="preserve">the Company the Trustees have </w:t>
      </w:r>
      <w:proofErr w:type="gramStart"/>
      <w:r>
        <w:t>entered into</w:t>
      </w:r>
      <w:proofErr w:type="gramEnd"/>
      <w:r>
        <w:t xml:space="preserve"> a Bulk Purchase Annuity (BPA) with Legal and General</w:t>
      </w:r>
      <w:r w:rsidR="00972993">
        <w:t xml:space="preserve"> Assurance Society (LGAS).</w:t>
      </w:r>
    </w:p>
    <w:p w14:paraId="3D9CCAAF" w14:textId="0592FBB0" w:rsidR="00972993" w:rsidRDefault="00972993" w:rsidP="00DA0895">
      <w:pPr>
        <w:spacing w:line="240" w:lineRule="auto"/>
      </w:pPr>
      <w:r>
        <w:t xml:space="preserve">This approach secures the benefits of the Scheme and ensures that all benefits will be met whilst removing the risk of any short fall in </w:t>
      </w:r>
      <w:r w:rsidR="00DD4660">
        <w:t>benefits, which</w:t>
      </w:r>
      <w:r>
        <w:t xml:space="preserve"> could occur if General Dynamics United Kingdom Ltd ever became insolvent or was no longer able to support the Scheme</w:t>
      </w:r>
      <w:r w:rsidR="00DD4660">
        <w:t>.</w:t>
      </w:r>
      <w:r>
        <w:t xml:space="preserve"> </w:t>
      </w:r>
      <w:r w:rsidR="00DD4660">
        <w:t>I</w:t>
      </w:r>
      <w:r>
        <w:t xml:space="preserve">t also protects the </w:t>
      </w:r>
      <w:r w:rsidR="00C55311">
        <w:t>Scheme</w:t>
      </w:r>
      <w:r>
        <w:t xml:space="preserve"> from </w:t>
      </w:r>
      <w:r w:rsidR="00DD4660">
        <w:t>potential</w:t>
      </w:r>
      <w:r>
        <w:t xml:space="preserve"> pla</w:t>
      </w:r>
      <w:r w:rsidR="00DD4660">
        <w:t>cement</w:t>
      </w:r>
      <w:r>
        <w:t xml:space="preserve"> into the Pension Protection Fund </w:t>
      </w:r>
      <w:r w:rsidR="00DD4660">
        <w:t xml:space="preserve">(removing the risk of </w:t>
      </w:r>
      <w:r>
        <w:t>capped</w:t>
      </w:r>
      <w:r w:rsidR="00DD4660">
        <w:t xml:space="preserve"> benefits)</w:t>
      </w:r>
      <w:r>
        <w:t>.</w:t>
      </w:r>
      <w:r w:rsidR="00DD4660">
        <w:t xml:space="preserve"> Further, other material risks (e.g. longevity risk) will be reduced.</w:t>
      </w:r>
    </w:p>
    <w:p w14:paraId="43186322" w14:textId="6BD70533" w:rsidR="00DA0895" w:rsidRPr="00832BD1" w:rsidRDefault="00972993" w:rsidP="00DA0895">
      <w:pPr>
        <w:spacing w:line="240" w:lineRule="auto"/>
      </w:pPr>
      <w:r>
        <w:t>Currently the BPA is a Buy</w:t>
      </w:r>
      <w:r w:rsidR="00DD4660">
        <w:t>-</w:t>
      </w:r>
      <w:r>
        <w:t xml:space="preserve">In, which means that LGAS have taken responsibility for paying the benefits as they become due.  The Trustees are </w:t>
      </w:r>
      <w:r w:rsidR="00DD4660">
        <w:t>undertaking</w:t>
      </w:r>
      <w:r>
        <w:t xml:space="preserve"> a data cleansing </w:t>
      </w:r>
      <w:r w:rsidRPr="00EB42C9">
        <w:t>stage</w:t>
      </w:r>
      <w:r w:rsidR="00DD4660" w:rsidRPr="00EB42C9">
        <w:t xml:space="preserve">, this ensures </w:t>
      </w:r>
      <w:r w:rsidRPr="00EB42C9">
        <w:t>the Trustees and LGAS are confident that all liabilities hav</w:t>
      </w:r>
      <w:r w:rsidR="00B22F35" w:rsidRPr="00EB42C9">
        <w:t>e</w:t>
      </w:r>
      <w:r w:rsidRPr="00EB42C9">
        <w:t xml:space="preserve"> been </w:t>
      </w:r>
      <w:r w:rsidR="00DD4660" w:rsidRPr="00EB42C9">
        <w:t xml:space="preserve">correctly </w:t>
      </w:r>
      <w:r w:rsidRPr="00EB42C9">
        <w:t>addressed</w:t>
      </w:r>
      <w:r w:rsidR="00DD4660" w:rsidRPr="00EB42C9">
        <w:t xml:space="preserve"> (inclusive</w:t>
      </w:r>
      <w:r w:rsidRPr="00EB42C9">
        <w:t xml:space="preserve"> </w:t>
      </w:r>
      <w:r w:rsidR="00DD4660" w:rsidRPr="00EB42C9">
        <w:t xml:space="preserve">of </w:t>
      </w:r>
      <w:r w:rsidR="00CC42E8" w:rsidRPr="00EB42C9">
        <w:t>Guaranteed Minimum Pension (GMP)</w:t>
      </w:r>
      <w:r w:rsidR="00DD4660" w:rsidRPr="00EB42C9">
        <w:t xml:space="preserve"> </w:t>
      </w:r>
      <w:r w:rsidR="00CC42E8" w:rsidRPr="00EB42C9">
        <w:t>equalisation</w:t>
      </w:r>
      <w:r w:rsidR="00DD4660" w:rsidRPr="00EB42C9">
        <w:t>)</w:t>
      </w:r>
      <w:r w:rsidR="00CC42E8" w:rsidRPr="00EB42C9">
        <w:t xml:space="preserve">.  </w:t>
      </w:r>
      <w:r w:rsidR="00EB42C9" w:rsidRPr="00EB42C9">
        <w:t>After</w:t>
      </w:r>
      <w:r w:rsidR="00CC42E8" w:rsidRPr="00EB42C9">
        <w:t xml:space="preserve"> the data cleansing process has been completed</w:t>
      </w:r>
      <w:r w:rsidR="00DD4660" w:rsidRPr="00EB42C9">
        <w:t xml:space="preserve">, </w:t>
      </w:r>
      <w:r w:rsidR="00CC42E8" w:rsidRPr="00EB42C9">
        <w:t xml:space="preserve">the </w:t>
      </w:r>
      <w:r w:rsidR="00DD4660" w:rsidRPr="00EB42C9">
        <w:t xml:space="preserve">policy will be considered as a </w:t>
      </w:r>
      <w:r w:rsidR="00CC42E8" w:rsidRPr="00EB42C9">
        <w:t>Buy</w:t>
      </w:r>
      <w:r w:rsidR="00DD4660" w:rsidRPr="00EB42C9">
        <w:t>-</w:t>
      </w:r>
      <w:r w:rsidR="00CC42E8" w:rsidRPr="00EB42C9">
        <w:t>Out</w:t>
      </w:r>
      <w:r w:rsidR="00DD4660" w:rsidRPr="00EB42C9">
        <w:t xml:space="preserve"> policy </w:t>
      </w:r>
      <w:r w:rsidR="00CC42E8" w:rsidRPr="00EB42C9">
        <w:t>with LGAS</w:t>
      </w:r>
      <w:r w:rsidR="00DD4660" w:rsidRPr="00EB42C9">
        <w:t>.</w:t>
      </w:r>
      <w:r w:rsidR="00CC42E8" w:rsidRPr="00EB42C9">
        <w:t xml:space="preserve"> </w:t>
      </w:r>
      <w:r w:rsidR="00DD4660" w:rsidRPr="00EB42C9">
        <w:t xml:space="preserve">In this arrangement, in agreement with the Trustees, </w:t>
      </w:r>
      <w:r w:rsidR="00CC42E8" w:rsidRPr="00EB42C9">
        <w:t xml:space="preserve">LGAS will provide each </w:t>
      </w:r>
      <w:r w:rsidR="00CA38D2">
        <w:t xml:space="preserve">Scheme </w:t>
      </w:r>
      <w:r w:rsidR="00CC42E8" w:rsidRPr="00EB42C9">
        <w:t>member</w:t>
      </w:r>
      <w:r w:rsidR="00CC42E8">
        <w:t xml:space="preserve"> with their own individual pension policy</w:t>
      </w:r>
      <w:r w:rsidR="00DD4660">
        <w:t>;</w:t>
      </w:r>
      <w:r w:rsidR="00CC42E8">
        <w:t xml:space="preserve"> at this </w:t>
      </w:r>
      <w:r w:rsidR="00DD4660">
        <w:t>stage,</w:t>
      </w:r>
      <w:r w:rsidR="00CC42E8">
        <w:t xml:space="preserve"> all responsibility for paying the </w:t>
      </w:r>
      <w:r w:rsidR="00CA38D2">
        <w:t>Scheme</w:t>
      </w:r>
      <w:r w:rsidR="00CC42E8">
        <w:t xml:space="preserve"> pensions </w:t>
      </w:r>
      <w:r w:rsidR="00DD4660">
        <w:t>is fully transferred</w:t>
      </w:r>
      <w:r w:rsidR="00CC42E8">
        <w:t xml:space="preserve"> to LGAS. </w:t>
      </w:r>
      <w:r>
        <w:t xml:space="preserve">  </w:t>
      </w:r>
    </w:p>
    <w:p w14:paraId="199FE034" w14:textId="2202A5DA" w:rsidR="00CA38D2" w:rsidRDefault="00CA38D2">
      <w:pPr>
        <w:spacing w:after="0" w:line="240" w:lineRule="auto"/>
      </w:pPr>
      <w:r>
        <w:br w:type="page"/>
      </w:r>
    </w:p>
    <w:p w14:paraId="3588FC5D" w14:textId="187C8CDC" w:rsidR="005D3536" w:rsidRDefault="005D3536" w:rsidP="00C73278">
      <w:pPr>
        <w:pStyle w:val="Heading1"/>
        <w:numPr>
          <w:ilvl w:val="0"/>
          <w:numId w:val="28"/>
        </w:numPr>
        <w:ind w:left="0" w:hanging="436"/>
        <w:rPr>
          <w:rFonts w:hint="eastAsia"/>
        </w:rPr>
      </w:pPr>
      <w:bookmarkStart w:id="55" w:name="_Toc146806587"/>
      <w:r>
        <w:t>I</w:t>
      </w:r>
      <w:r w:rsidR="00C60101">
        <w:t>nvestment Strategy</w:t>
      </w:r>
      <w:bookmarkEnd w:id="55"/>
    </w:p>
    <w:p w14:paraId="18395BE0" w14:textId="5FDE594E" w:rsidR="000D41EB" w:rsidRDefault="005D3536" w:rsidP="005D3536">
      <w:pPr>
        <w:spacing w:line="240" w:lineRule="auto"/>
      </w:pPr>
      <w:r>
        <w:t>With regards to the invest</w:t>
      </w:r>
      <w:r w:rsidR="004C2819">
        <w:t>ment objectives as laid out in S</w:t>
      </w:r>
      <w:r>
        <w:t xml:space="preserve">ection </w:t>
      </w:r>
      <w:r w:rsidR="00CA38D2">
        <w:t>3</w:t>
      </w:r>
      <w:r w:rsidR="004C2819">
        <w:t>: Investment Objectives</w:t>
      </w:r>
      <w:r>
        <w:t xml:space="preserve">, the </w:t>
      </w:r>
      <w:r w:rsidR="00F14CDC">
        <w:t>Trustees</w:t>
      </w:r>
      <w:r>
        <w:t xml:space="preserve"> have </w:t>
      </w:r>
      <w:proofErr w:type="gramStart"/>
      <w:r w:rsidR="002B52B7">
        <w:t>entered into</w:t>
      </w:r>
      <w:proofErr w:type="gramEnd"/>
      <w:r w:rsidR="002B52B7">
        <w:t xml:space="preserve"> a </w:t>
      </w:r>
      <w:r w:rsidR="002B52B7" w:rsidRPr="00C64EAA">
        <w:t>BPA</w:t>
      </w:r>
      <w:r w:rsidR="00044FDF" w:rsidRPr="00C64EAA">
        <w:t>.</w:t>
      </w:r>
      <w:r w:rsidR="002B52B7" w:rsidRPr="00C64EAA">
        <w:t xml:space="preserve"> </w:t>
      </w:r>
      <w:r w:rsidR="00044FDF" w:rsidRPr="00C64EAA">
        <w:t>T</w:t>
      </w:r>
      <w:r w:rsidR="002B52B7" w:rsidRPr="00C64EAA">
        <w:t>he</w:t>
      </w:r>
      <w:r w:rsidR="00044FDF" w:rsidRPr="00C64EAA">
        <w:t xml:space="preserve"> remaining invested assets </w:t>
      </w:r>
      <w:r w:rsidR="00EB42C9" w:rsidRPr="00C64EAA">
        <w:t>have adopted</w:t>
      </w:r>
      <w:r w:rsidR="00044FDF" w:rsidRPr="00C64EAA">
        <w:t xml:space="preserve"> an</w:t>
      </w:r>
      <w:r w:rsidRPr="00C64EAA">
        <w:t xml:space="preserve"> investment strategy </w:t>
      </w:r>
      <w:r w:rsidR="00044FDF" w:rsidRPr="00C64EAA">
        <w:t xml:space="preserve">that seeks to match BPA pricing (as confirmed by LGAS) </w:t>
      </w:r>
      <w:r w:rsidRPr="00C64EAA">
        <w:t xml:space="preserve">with Legal &amp; General Investment Management (LGIM) </w:t>
      </w:r>
      <w:r w:rsidR="00024E5A" w:rsidRPr="00C64EAA">
        <w:t>as follows:</w:t>
      </w:r>
    </w:p>
    <w:tbl>
      <w:tblPr>
        <w:tblW w:w="768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60"/>
        <w:gridCol w:w="3135"/>
        <w:gridCol w:w="1559"/>
        <w:gridCol w:w="1733"/>
      </w:tblGrid>
      <w:tr w:rsidR="00F277E8" w:rsidRPr="00036D51" w14:paraId="7DE22CA5" w14:textId="77777777" w:rsidTr="00F277E8">
        <w:trPr>
          <w:trHeight w:val="1177"/>
        </w:trPr>
        <w:tc>
          <w:tcPr>
            <w:tcW w:w="1260" w:type="dxa"/>
            <w:tcBorders>
              <w:bottom w:val="single" w:sz="4" w:space="0" w:color="auto"/>
            </w:tcBorders>
            <w:shd w:val="clear" w:color="auto" w:fill="00864A"/>
            <w:vAlign w:val="center"/>
          </w:tcPr>
          <w:p w14:paraId="6B86574C" w14:textId="77777777" w:rsidR="00F277E8" w:rsidRPr="00036D51" w:rsidRDefault="00F277E8" w:rsidP="00C73278">
            <w:pPr>
              <w:rPr>
                <w:b/>
                <w:color w:val="FFFFFF"/>
                <w:sz w:val="20"/>
                <w:szCs w:val="20"/>
              </w:rPr>
            </w:pPr>
            <w:r w:rsidRPr="00036D51">
              <w:rPr>
                <w:b/>
                <w:color w:val="FFFFFF"/>
                <w:sz w:val="20"/>
                <w:szCs w:val="20"/>
              </w:rPr>
              <w:t>Manager</w:t>
            </w:r>
          </w:p>
        </w:tc>
        <w:tc>
          <w:tcPr>
            <w:tcW w:w="3135" w:type="dxa"/>
            <w:tcBorders>
              <w:bottom w:val="single" w:sz="4" w:space="0" w:color="auto"/>
            </w:tcBorders>
            <w:shd w:val="clear" w:color="auto" w:fill="00864A"/>
            <w:vAlign w:val="center"/>
          </w:tcPr>
          <w:p w14:paraId="1BCFDDEC" w14:textId="77777777" w:rsidR="00F277E8" w:rsidRPr="00036D51" w:rsidRDefault="00F277E8" w:rsidP="00274AB4">
            <w:pPr>
              <w:jc w:val="center"/>
              <w:rPr>
                <w:b/>
                <w:color w:val="FFFFFF"/>
                <w:sz w:val="20"/>
                <w:szCs w:val="20"/>
              </w:rPr>
            </w:pPr>
            <w:r w:rsidRPr="00036D51">
              <w:rPr>
                <w:b/>
                <w:color w:val="FFFFFF"/>
                <w:sz w:val="20"/>
                <w:szCs w:val="20"/>
              </w:rPr>
              <w:t>Pooled Fund</w:t>
            </w:r>
          </w:p>
        </w:tc>
        <w:tc>
          <w:tcPr>
            <w:tcW w:w="1559" w:type="dxa"/>
            <w:tcBorders>
              <w:bottom w:val="single" w:sz="4" w:space="0" w:color="auto"/>
            </w:tcBorders>
            <w:shd w:val="clear" w:color="auto" w:fill="00864A"/>
            <w:vAlign w:val="center"/>
          </w:tcPr>
          <w:p w14:paraId="10815C03" w14:textId="77777777" w:rsidR="00F277E8" w:rsidRPr="00036D51" w:rsidRDefault="00F277E8" w:rsidP="00274AB4">
            <w:pPr>
              <w:jc w:val="center"/>
              <w:rPr>
                <w:b/>
                <w:color w:val="FFFFFF"/>
                <w:sz w:val="20"/>
                <w:szCs w:val="20"/>
              </w:rPr>
            </w:pPr>
            <w:r w:rsidRPr="00036D51">
              <w:rPr>
                <w:b/>
                <w:color w:val="FFFFFF"/>
                <w:sz w:val="20"/>
                <w:szCs w:val="20"/>
              </w:rPr>
              <w:t>Benchmark Index</w:t>
            </w:r>
          </w:p>
        </w:tc>
        <w:tc>
          <w:tcPr>
            <w:tcW w:w="1733" w:type="dxa"/>
            <w:tcBorders>
              <w:bottom w:val="single" w:sz="4" w:space="0" w:color="auto"/>
            </w:tcBorders>
            <w:shd w:val="clear" w:color="auto" w:fill="00864A"/>
            <w:vAlign w:val="center"/>
          </w:tcPr>
          <w:p w14:paraId="4DB3982F" w14:textId="77777777" w:rsidR="00F277E8" w:rsidRPr="00036D51" w:rsidRDefault="00F277E8" w:rsidP="00274AB4">
            <w:pPr>
              <w:jc w:val="center"/>
              <w:rPr>
                <w:b/>
                <w:color w:val="FFFFFF"/>
                <w:sz w:val="20"/>
                <w:szCs w:val="20"/>
              </w:rPr>
            </w:pPr>
            <w:r w:rsidRPr="00036D51">
              <w:rPr>
                <w:b/>
                <w:color w:val="FFFFFF"/>
                <w:sz w:val="20"/>
                <w:szCs w:val="20"/>
              </w:rPr>
              <w:t>Benchmark Allocation (%)</w:t>
            </w:r>
          </w:p>
        </w:tc>
      </w:tr>
      <w:tr w:rsidR="00C660CC" w:rsidRPr="00036D51" w14:paraId="3BDBF183" w14:textId="77777777" w:rsidTr="00F277E8">
        <w:trPr>
          <w:trHeight w:val="324"/>
        </w:trPr>
        <w:tc>
          <w:tcPr>
            <w:tcW w:w="1260" w:type="dxa"/>
          </w:tcPr>
          <w:p w14:paraId="25A4388D" w14:textId="7A5AB7B1" w:rsidR="00C660CC" w:rsidRPr="00036D51" w:rsidRDefault="00C660CC" w:rsidP="00943241">
            <w:pPr>
              <w:spacing w:after="0"/>
              <w:rPr>
                <w:sz w:val="20"/>
                <w:szCs w:val="20"/>
              </w:rPr>
            </w:pPr>
            <w:r>
              <w:rPr>
                <w:sz w:val="20"/>
                <w:szCs w:val="20"/>
              </w:rPr>
              <w:t>Columbia Threadneedle</w:t>
            </w:r>
          </w:p>
        </w:tc>
        <w:tc>
          <w:tcPr>
            <w:tcW w:w="3135" w:type="dxa"/>
          </w:tcPr>
          <w:p w14:paraId="281A37F0" w14:textId="65ECD30C" w:rsidR="00C660CC" w:rsidRDefault="00C660CC" w:rsidP="00274AB4">
            <w:pPr>
              <w:spacing w:after="0"/>
              <w:jc w:val="center"/>
              <w:rPr>
                <w:sz w:val="20"/>
                <w:szCs w:val="20"/>
              </w:rPr>
            </w:pPr>
            <w:r>
              <w:rPr>
                <w:sz w:val="20"/>
                <w:szCs w:val="20"/>
              </w:rPr>
              <w:t>Multi Asset Fund</w:t>
            </w:r>
          </w:p>
        </w:tc>
        <w:tc>
          <w:tcPr>
            <w:tcW w:w="1559" w:type="dxa"/>
          </w:tcPr>
          <w:p w14:paraId="10E0CD4E" w14:textId="6BA6C29E" w:rsidR="00C660CC" w:rsidRDefault="00C660CC" w:rsidP="00274AB4">
            <w:pPr>
              <w:spacing w:after="0"/>
              <w:jc w:val="center"/>
              <w:rPr>
                <w:sz w:val="20"/>
                <w:szCs w:val="20"/>
              </w:rPr>
            </w:pPr>
            <w:r>
              <w:rPr>
                <w:sz w:val="20"/>
                <w:szCs w:val="20"/>
              </w:rPr>
              <w:t>BoE Base Rate + 4.0% p.a.</w:t>
            </w:r>
          </w:p>
        </w:tc>
        <w:tc>
          <w:tcPr>
            <w:tcW w:w="1733" w:type="dxa"/>
            <w:vAlign w:val="center"/>
          </w:tcPr>
          <w:p w14:paraId="1B30D805" w14:textId="37AD5B6E" w:rsidR="00C660CC" w:rsidRDefault="00C660CC" w:rsidP="00274AB4">
            <w:pPr>
              <w:spacing w:after="0"/>
              <w:jc w:val="center"/>
              <w:rPr>
                <w:sz w:val="20"/>
                <w:szCs w:val="20"/>
              </w:rPr>
            </w:pPr>
            <w:r>
              <w:rPr>
                <w:sz w:val="20"/>
                <w:szCs w:val="20"/>
              </w:rPr>
              <w:t>21.0</w:t>
            </w:r>
          </w:p>
        </w:tc>
      </w:tr>
      <w:tr w:rsidR="00F277E8" w:rsidRPr="00036D51" w14:paraId="69DB7410" w14:textId="77777777" w:rsidTr="00F277E8">
        <w:trPr>
          <w:trHeight w:val="324"/>
        </w:trPr>
        <w:tc>
          <w:tcPr>
            <w:tcW w:w="1260" w:type="dxa"/>
          </w:tcPr>
          <w:p w14:paraId="68D7B385" w14:textId="77777777" w:rsidR="00F277E8" w:rsidRPr="00036D51" w:rsidRDefault="00F277E8" w:rsidP="00943241">
            <w:pPr>
              <w:spacing w:after="0"/>
              <w:rPr>
                <w:sz w:val="20"/>
                <w:szCs w:val="20"/>
              </w:rPr>
            </w:pPr>
            <w:r w:rsidRPr="00036D51">
              <w:rPr>
                <w:sz w:val="20"/>
                <w:szCs w:val="20"/>
              </w:rPr>
              <w:t>LGIM</w:t>
            </w:r>
          </w:p>
        </w:tc>
        <w:tc>
          <w:tcPr>
            <w:tcW w:w="3135" w:type="dxa"/>
          </w:tcPr>
          <w:p w14:paraId="360EDFA4" w14:textId="77777777" w:rsidR="00F277E8" w:rsidRPr="00036D51" w:rsidRDefault="00F277E8" w:rsidP="00274AB4">
            <w:pPr>
              <w:spacing w:after="0"/>
              <w:jc w:val="center"/>
              <w:rPr>
                <w:sz w:val="20"/>
                <w:szCs w:val="20"/>
              </w:rPr>
            </w:pPr>
            <w:r>
              <w:rPr>
                <w:sz w:val="20"/>
                <w:szCs w:val="20"/>
              </w:rPr>
              <w:t>Buy Out Aware Real Long</w:t>
            </w:r>
          </w:p>
        </w:tc>
        <w:tc>
          <w:tcPr>
            <w:tcW w:w="1559" w:type="dxa"/>
          </w:tcPr>
          <w:p w14:paraId="73A666C0" w14:textId="77777777" w:rsidR="00F277E8" w:rsidRPr="00036D51" w:rsidRDefault="00F277E8" w:rsidP="00274AB4">
            <w:pPr>
              <w:spacing w:after="0"/>
              <w:jc w:val="center"/>
              <w:rPr>
                <w:sz w:val="20"/>
                <w:szCs w:val="20"/>
              </w:rPr>
            </w:pPr>
            <w:r>
              <w:rPr>
                <w:sz w:val="20"/>
                <w:szCs w:val="20"/>
              </w:rPr>
              <w:t>N/A</w:t>
            </w:r>
          </w:p>
        </w:tc>
        <w:tc>
          <w:tcPr>
            <w:tcW w:w="1733" w:type="dxa"/>
            <w:vAlign w:val="center"/>
          </w:tcPr>
          <w:p w14:paraId="51C0BB3A" w14:textId="2A5574BD" w:rsidR="00F277E8" w:rsidRPr="00036D51" w:rsidRDefault="00C660CC" w:rsidP="00274AB4">
            <w:pPr>
              <w:spacing w:after="0"/>
              <w:jc w:val="center"/>
              <w:rPr>
                <w:sz w:val="20"/>
                <w:szCs w:val="20"/>
              </w:rPr>
            </w:pPr>
            <w:r>
              <w:rPr>
                <w:sz w:val="20"/>
                <w:szCs w:val="20"/>
              </w:rPr>
              <w:t>12.0</w:t>
            </w:r>
          </w:p>
        </w:tc>
      </w:tr>
      <w:tr w:rsidR="00F277E8" w:rsidRPr="00036D51" w14:paraId="01488B03" w14:textId="77777777" w:rsidTr="00F277E8">
        <w:trPr>
          <w:trHeight w:val="306"/>
        </w:trPr>
        <w:tc>
          <w:tcPr>
            <w:tcW w:w="1260" w:type="dxa"/>
          </w:tcPr>
          <w:p w14:paraId="23007B68" w14:textId="77777777" w:rsidR="00F277E8" w:rsidRPr="00036D51" w:rsidRDefault="00F277E8" w:rsidP="00943241">
            <w:pPr>
              <w:spacing w:after="0"/>
              <w:rPr>
                <w:sz w:val="20"/>
                <w:szCs w:val="20"/>
              </w:rPr>
            </w:pPr>
            <w:r w:rsidRPr="00036D51">
              <w:rPr>
                <w:sz w:val="20"/>
                <w:szCs w:val="20"/>
              </w:rPr>
              <w:t>LGIM</w:t>
            </w:r>
          </w:p>
        </w:tc>
        <w:tc>
          <w:tcPr>
            <w:tcW w:w="3135" w:type="dxa"/>
          </w:tcPr>
          <w:p w14:paraId="648B0657" w14:textId="77777777" w:rsidR="00F277E8" w:rsidRPr="00036D51" w:rsidRDefault="00F277E8" w:rsidP="00274AB4">
            <w:pPr>
              <w:spacing w:after="0"/>
              <w:jc w:val="center"/>
              <w:rPr>
                <w:sz w:val="20"/>
                <w:szCs w:val="20"/>
              </w:rPr>
            </w:pPr>
            <w:r>
              <w:rPr>
                <w:sz w:val="20"/>
                <w:szCs w:val="20"/>
              </w:rPr>
              <w:t>Buy Out Aware Real Short</w:t>
            </w:r>
          </w:p>
        </w:tc>
        <w:tc>
          <w:tcPr>
            <w:tcW w:w="1559" w:type="dxa"/>
          </w:tcPr>
          <w:p w14:paraId="447F3556" w14:textId="77777777" w:rsidR="00F277E8" w:rsidRPr="00036D51" w:rsidRDefault="00F277E8" w:rsidP="00274AB4">
            <w:pPr>
              <w:spacing w:after="0"/>
              <w:jc w:val="center"/>
              <w:rPr>
                <w:sz w:val="20"/>
                <w:szCs w:val="20"/>
              </w:rPr>
            </w:pPr>
            <w:r>
              <w:rPr>
                <w:sz w:val="20"/>
                <w:szCs w:val="20"/>
              </w:rPr>
              <w:t>N/A</w:t>
            </w:r>
          </w:p>
        </w:tc>
        <w:tc>
          <w:tcPr>
            <w:tcW w:w="1733" w:type="dxa"/>
            <w:vAlign w:val="center"/>
          </w:tcPr>
          <w:p w14:paraId="5F2DF623" w14:textId="3E240AF0" w:rsidR="00F277E8" w:rsidRPr="00036D51" w:rsidRDefault="006015A1" w:rsidP="00274AB4">
            <w:pPr>
              <w:spacing w:after="0"/>
              <w:jc w:val="center"/>
              <w:rPr>
                <w:sz w:val="20"/>
                <w:szCs w:val="20"/>
              </w:rPr>
            </w:pPr>
            <w:r>
              <w:rPr>
                <w:sz w:val="20"/>
                <w:szCs w:val="20"/>
              </w:rPr>
              <w:t>17</w:t>
            </w:r>
            <w:r w:rsidR="00C660CC">
              <w:rPr>
                <w:sz w:val="20"/>
                <w:szCs w:val="20"/>
              </w:rPr>
              <w:t>.0</w:t>
            </w:r>
          </w:p>
        </w:tc>
      </w:tr>
      <w:tr w:rsidR="00F277E8" w:rsidRPr="00036D51" w14:paraId="0428A133" w14:textId="77777777" w:rsidTr="00F277E8">
        <w:trPr>
          <w:trHeight w:val="306"/>
        </w:trPr>
        <w:tc>
          <w:tcPr>
            <w:tcW w:w="1260" w:type="dxa"/>
          </w:tcPr>
          <w:p w14:paraId="5709B3F3" w14:textId="77777777" w:rsidR="00F277E8" w:rsidRPr="00036D51" w:rsidRDefault="00F277E8" w:rsidP="00943241">
            <w:pPr>
              <w:spacing w:after="0"/>
              <w:rPr>
                <w:sz w:val="20"/>
                <w:szCs w:val="20"/>
              </w:rPr>
            </w:pPr>
            <w:r w:rsidRPr="00036D51">
              <w:rPr>
                <w:sz w:val="20"/>
                <w:szCs w:val="20"/>
              </w:rPr>
              <w:t>LGIM</w:t>
            </w:r>
          </w:p>
        </w:tc>
        <w:tc>
          <w:tcPr>
            <w:tcW w:w="3135" w:type="dxa"/>
          </w:tcPr>
          <w:p w14:paraId="2A496485" w14:textId="77777777" w:rsidR="00F277E8" w:rsidRPr="00036D51" w:rsidRDefault="00F277E8" w:rsidP="00274AB4">
            <w:pPr>
              <w:spacing w:after="0"/>
              <w:jc w:val="center"/>
              <w:rPr>
                <w:sz w:val="20"/>
                <w:szCs w:val="20"/>
              </w:rPr>
            </w:pPr>
            <w:r>
              <w:rPr>
                <w:sz w:val="20"/>
                <w:szCs w:val="20"/>
              </w:rPr>
              <w:t xml:space="preserve">Buy Out Aware Fixed Long </w:t>
            </w:r>
          </w:p>
        </w:tc>
        <w:tc>
          <w:tcPr>
            <w:tcW w:w="1559" w:type="dxa"/>
          </w:tcPr>
          <w:p w14:paraId="5CA20F31" w14:textId="77777777" w:rsidR="00F277E8" w:rsidRPr="00036D51" w:rsidRDefault="00F277E8" w:rsidP="00274AB4">
            <w:pPr>
              <w:spacing w:after="0"/>
              <w:jc w:val="center"/>
              <w:rPr>
                <w:sz w:val="20"/>
                <w:szCs w:val="20"/>
              </w:rPr>
            </w:pPr>
            <w:r>
              <w:rPr>
                <w:sz w:val="20"/>
                <w:szCs w:val="20"/>
              </w:rPr>
              <w:t>N/A</w:t>
            </w:r>
          </w:p>
        </w:tc>
        <w:tc>
          <w:tcPr>
            <w:tcW w:w="1733" w:type="dxa"/>
            <w:vAlign w:val="center"/>
          </w:tcPr>
          <w:p w14:paraId="502DB293" w14:textId="5B0BC5C0" w:rsidR="00F277E8" w:rsidRPr="00036D51" w:rsidDel="00FA0A67" w:rsidRDefault="006015A1" w:rsidP="00274AB4">
            <w:pPr>
              <w:spacing w:after="0"/>
              <w:jc w:val="center"/>
              <w:rPr>
                <w:sz w:val="20"/>
                <w:szCs w:val="20"/>
              </w:rPr>
            </w:pPr>
            <w:r>
              <w:rPr>
                <w:sz w:val="20"/>
                <w:szCs w:val="20"/>
              </w:rPr>
              <w:t>29</w:t>
            </w:r>
            <w:r w:rsidR="00C660CC">
              <w:rPr>
                <w:sz w:val="20"/>
                <w:szCs w:val="20"/>
              </w:rPr>
              <w:t>.0</w:t>
            </w:r>
          </w:p>
        </w:tc>
      </w:tr>
      <w:tr w:rsidR="00C660CC" w:rsidRPr="00036D51" w14:paraId="25789FBE" w14:textId="77777777" w:rsidTr="00F277E8">
        <w:trPr>
          <w:trHeight w:val="306"/>
        </w:trPr>
        <w:tc>
          <w:tcPr>
            <w:tcW w:w="1260" w:type="dxa"/>
          </w:tcPr>
          <w:p w14:paraId="6268185A" w14:textId="27712573" w:rsidR="00C660CC" w:rsidRPr="00036D51" w:rsidRDefault="00C660CC" w:rsidP="00943241">
            <w:pPr>
              <w:spacing w:after="0"/>
              <w:rPr>
                <w:sz w:val="20"/>
                <w:szCs w:val="20"/>
              </w:rPr>
            </w:pPr>
            <w:r>
              <w:rPr>
                <w:sz w:val="20"/>
                <w:szCs w:val="20"/>
              </w:rPr>
              <w:t>Sterling Liquidity Fund</w:t>
            </w:r>
          </w:p>
        </w:tc>
        <w:tc>
          <w:tcPr>
            <w:tcW w:w="3135" w:type="dxa"/>
          </w:tcPr>
          <w:p w14:paraId="4E7B15BA" w14:textId="2896DEB9" w:rsidR="00C660CC" w:rsidRDefault="00C660CC" w:rsidP="00274AB4">
            <w:pPr>
              <w:spacing w:after="0"/>
              <w:jc w:val="center"/>
              <w:rPr>
                <w:sz w:val="20"/>
                <w:szCs w:val="20"/>
              </w:rPr>
            </w:pPr>
            <w:r>
              <w:rPr>
                <w:sz w:val="20"/>
                <w:szCs w:val="20"/>
              </w:rPr>
              <w:t>Sterling Liquidity Fund</w:t>
            </w:r>
          </w:p>
        </w:tc>
        <w:tc>
          <w:tcPr>
            <w:tcW w:w="1559" w:type="dxa"/>
          </w:tcPr>
          <w:p w14:paraId="62FD6306" w14:textId="164E23DD" w:rsidR="00C660CC" w:rsidRDefault="00E0111E" w:rsidP="00E0111E">
            <w:pPr>
              <w:spacing w:after="0"/>
              <w:jc w:val="center"/>
              <w:rPr>
                <w:sz w:val="20"/>
                <w:szCs w:val="20"/>
              </w:rPr>
            </w:pPr>
            <w:r>
              <w:rPr>
                <w:sz w:val="20"/>
                <w:szCs w:val="20"/>
              </w:rPr>
              <w:t>SONIA</w:t>
            </w:r>
          </w:p>
        </w:tc>
        <w:tc>
          <w:tcPr>
            <w:tcW w:w="1733" w:type="dxa"/>
            <w:vAlign w:val="center"/>
          </w:tcPr>
          <w:p w14:paraId="2DCCD0F2" w14:textId="553E2442" w:rsidR="00C660CC" w:rsidRDefault="00C660CC" w:rsidP="00274AB4">
            <w:pPr>
              <w:spacing w:after="0"/>
              <w:jc w:val="center"/>
              <w:rPr>
                <w:sz w:val="20"/>
                <w:szCs w:val="20"/>
              </w:rPr>
            </w:pPr>
            <w:r>
              <w:rPr>
                <w:sz w:val="20"/>
                <w:szCs w:val="20"/>
              </w:rPr>
              <w:t>21.0</w:t>
            </w:r>
          </w:p>
        </w:tc>
      </w:tr>
      <w:tr w:rsidR="00F277E8" w:rsidRPr="00036D51" w14:paraId="0A322F3A" w14:textId="77777777" w:rsidTr="00F277E8">
        <w:trPr>
          <w:trHeight w:val="306"/>
        </w:trPr>
        <w:tc>
          <w:tcPr>
            <w:tcW w:w="5954" w:type="dxa"/>
            <w:gridSpan w:val="3"/>
            <w:shd w:val="clear" w:color="auto" w:fill="CCCCCC"/>
          </w:tcPr>
          <w:p w14:paraId="25BCD54E" w14:textId="77777777" w:rsidR="00F277E8" w:rsidRPr="00036D51" w:rsidRDefault="00F277E8" w:rsidP="00C73278">
            <w:pPr>
              <w:spacing w:after="0"/>
              <w:rPr>
                <w:b/>
                <w:sz w:val="20"/>
                <w:szCs w:val="20"/>
              </w:rPr>
            </w:pPr>
            <w:r w:rsidRPr="00036D51">
              <w:rPr>
                <w:b/>
                <w:sz w:val="20"/>
                <w:szCs w:val="20"/>
              </w:rPr>
              <w:t>Total</w:t>
            </w:r>
          </w:p>
        </w:tc>
        <w:tc>
          <w:tcPr>
            <w:tcW w:w="1733" w:type="dxa"/>
            <w:shd w:val="clear" w:color="auto" w:fill="CCCCCC"/>
            <w:vAlign w:val="center"/>
          </w:tcPr>
          <w:p w14:paraId="584FD884" w14:textId="77777777" w:rsidR="00F277E8" w:rsidRPr="00036D51" w:rsidRDefault="00F277E8" w:rsidP="00274AB4">
            <w:pPr>
              <w:spacing w:after="0"/>
              <w:jc w:val="center"/>
              <w:rPr>
                <w:b/>
                <w:sz w:val="20"/>
                <w:szCs w:val="20"/>
              </w:rPr>
            </w:pPr>
            <w:r>
              <w:rPr>
                <w:b/>
                <w:sz w:val="20"/>
                <w:szCs w:val="20"/>
              </w:rPr>
              <w:t>100.0</w:t>
            </w:r>
          </w:p>
        </w:tc>
      </w:tr>
    </w:tbl>
    <w:p w14:paraId="424A6D6E" w14:textId="77777777" w:rsidR="009E4941" w:rsidRDefault="009E4941" w:rsidP="00407335"/>
    <w:p w14:paraId="3C54F8FE" w14:textId="2D2737F4" w:rsidR="006932D0" w:rsidRPr="00C64EAA" w:rsidRDefault="00407335" w:rsidP="00D274A1">
      <w:r w:rsidRPr="00C64EAA">
        <w:t xml:space="preserve">The </w:t>
      </w:r>
      <w:r w:rsidR="00EB42C9" w:rsidRPr="00C64EAA">
        <w:t>Buyout Aware Fund aim</w:t>
      </w:r>
      <w:r w:rsidRPr="00C64EAA">
        <w:t xml:space="preserve"> to provide a diversified exposure to assets that reflect the investments underlying a typical bulk annuity insurance policy (otherwise known as a buy-in or a buy-out). These Funds reference a liability profile with a combination of long and short durations, and both fixed interest rate and real rate (i.e. inclusive of inflation) sensitivity</w:t>
      </w:r>
      <w:r w:rsidR="007D22A8" w:rsidRPr="00C64EAA">
        <w:t>.</w:t>
      </w:r>
      <w:r w:rsidR="00C60101" w:rsidRPr="00C64EAA">
        <w:t xml:space="preserve"> </w:t>
      </w:r>
      <w:r w:rsidR="007D22A8" w:rsidRPr="00C64EAA">
        <w:t>Th</w:t>
      </w:r>
      <w:r w:rsidR="00EB42C9" w:rsidRPr="00C64EAA">
        <w:t>is proportion of the portfolio continues to track a small proportion of Scheme liabilities</w:t>
      </w:r>
      <w:r w:rsidR="007D22A8" w:rsidRPr="00C64EAA">
        <w:t xml:space="preserve">.  </w:t>
      </w:r>
    </w:p>
    <w:p w14:paraId="3E586623" w14:textId="4D21CCC9" w:rsidR="00EB42C9" w:rsidRDefault="00EB42C9" w:rsidP="00D274A1">
      <w:r w:rsidRPr="00C64EAA">
        <w:t xml:space="preserve">The Threadneedle Multi Asset Fund provide a diversified exposure to a variety of asset </w:t>
      </w:r>
      <w:proofErr w:type="gramStart"/>
      <w:r w:rsidRPr="00C64EAA">
        <w:t>classes, and</w:t>
      </w:r>
      <w:proofErr w:type="gramEnd"/>
      <w:r w:rsidRPr="00C64EAA">
        <w:t xml:space="preserve"> targets a return of the Bank of England’</w:t>
      </w:r>
      <w:r w:rsidR="00C660CC" w:rsidRPr="00C64EAA">
        <w:t xml:space="preserve">s Base Rate </w:t>
      </w:r>
      <w:r w:rsidRPr="00C64EAA">
        <w:t>+</w:t>
      </w:r>
      <w:r w:rsidR="00C660CC" w:rsidRPr="00C64EAA">
        <w:t xml:space="preserve"> </w:t>
      </w:r>
      <w:r w:rsidRPr="00C64EAA">
        <w:t xml:space="preserve">4.0% per annum. Whilst the </w:t>
      </w:r>
      <w:r w:rsidR="00C660CC" w:rsidRPr="00C64EAA">
        <w:t>Sterling Liquidity Fund invests in cash and money market securities</w:t>
      </w:r>
      <w:r w:rsidR="006015A1" w:rsidRPr="00C64EAA">
        <w:t xml:space="preserve">, targeting a </w:t>
      </w:r>
      <w:proofErr w:type="gramStart"/>
      <w:r w:rsidR="006015A1" w:rsidRPr="00C64EAA">
        <w:t>7 day</w:t>
      </w:r>
      <w:proofErr w:type="gramEnd"/>
      <w:r w:rsidR="006015A1" w:rsidRPr="00C64EAA">
        <w:t xml:space="preserve"> LIBID benchmark</w:t>
      </w:r>
      <w:r w:rsidR="00C660CC" w:rsidRPr="00C64EAA">
        <w:t>, and prioritises capital preservation.</w:t>
      </w:r>
      <w:r w:rsidR="00C660CC">
        <w:t xml:space="preserve"> </w:t>
      </w:r>
    </w:p>
    <w:p w14:paraId="24BA0BB8" w14:textId="38B5CD7F" w:rsidR="006015A1" w:rsidRDefault="006015A1" w:rsidP="00D274A1"/>
    <w:p w14:paraId="31994E17" w14:textId="6F0B2FE5" w:rsidR="006015A1" w:rsidRDefault="006015A1" w:rsidP="00D274A1"/>
    <w:p w14:paraId="1B395423" w14:textId="19AFF98D" w:rsidR="006015A1" w:rsidRDefault="006015A1" w:rsidP="00D274A1"/>
    <w:p w14:paraId="0F055564" w14:textId="77777777" w:rsidR="006015A1" w:rsidRPr="00C60101" w:rsidRDefault="006015A1" w:rsidP="00D274A1"/>
    <w:p w14:paraId="1979A32D" w14:textId="6E7473FB" w:rsidR="00CA38D2" w:rsidRPr="00C13377" w:rsidRDefault="00CA38D2" w:rsidP="00C13377">
      <w:bookmarkStart w:id="56" w:name="_Toc49344768"/>
      <w:r w:rsidDel="00CA38D2">
        <w:t xml:space="preserve"> </w:t>
      </w:r>
      <w:bookmarkEnd w:id="56"/>
    </w:p>
    <w:p w14:paraId="1887B608" w14:textId="77777777" w:rsidR="00C60101" w:rsidRDefault="00615129" w:rsidP="00C60101">
      <w:pPr>
        <w:pStyle w:val="Heading1"/>
        <w:numPr>
          <w:ilvl w:val="0"/>
          <w:numId w:val="28"/>
        </w:numPr>
        <w:spacing w:after="240"/>
        <w:ind w:left="0" w:hanging="436"/>
        <w:rPr>
          <w:rFonts w:hint="eastAsia"/>
        </w:rPr>
      </w:pPr>
      <w:r>
        <w:rPr>
          <w:rFonts w:hint="eastAsia"/>
        </w:rPr>
        <w:br w:type="page"/>
      </w:r>
      <w:bookmarkStart w:id="57" w:name="_Toc146806588"/>
      <w:r w:rsidR="00C60101">
        <w:t>Responsible Investing</w:t>
      </w:r>
      <w:bookmarkEnd w:id="57"/>
    </w:p>
    <w:p w14:paraId="295F153E" w14:textId="77777777" w:rsidR="00C60101" w:rsidRPr="006B7260" w:rsidRDefault="00C60101" w:rsidP="00C60101">
      <w:pPr>
        <w:rPr>
          <w:rFonts w:ascii="Arial" w:eastAsia="MS Gothic" w:hAnsi="Arial"/>
          <w:bCs/>
          <w:color w:val="00864A"/>
        </w:rPr>
      </w:pPr>
      <w:r w:rsidRPr="006B7260">
        <w:rPr>
          <w:rFonts w:ascii="Arial" w:eastAsia="MS Gothic" w:hAnsi="Arial"/>
          <w:bCs/>
          <w:color w:val="00864A"/>
        </w:rPr>
        <w:t>Financially Material Considerations</w:t>
      </w:r>
    </w:p>
    <w:p w14:paraId="3FBEB82D" w14:textId="1AB1AD9C" w:rsidR="00E16AB2" w:rsidRDefault="00E16AB2" w:rsidP="00C60101">
      <w:pPr>
        <w:rPr>
          <w:iCs/>
        </w:rPr>
      </w:pPr>
      <w:r w:rsidRPr="00E16AB2">
        <w:rPr>
          <w:iCs/>
        </w:rPr>
        <w:t>In setting the</w:t>
      </w:r>
      <w:r w:rsidR="007D2CD2">
        <w:rPr>
          <w:iCs/>
        </w:rPr>
        <w:t xml:space="preserve"> </w:t>
      </w:r>
      <w:r w:rsidR="00CA38D2">
        <w:rPr>
          <w:iCs/>
        </w:rPr>
        <w:t>Scheme’s</w:t>
      </w:r>
      <w:r w:rsidR="00CA38D2" w:rsidRPr="00E16AB2">
        <w:rPr>
          <w:iCs/>
        </w:rPr>
        <w:t xml:space="preserve"> </w:t>
      </w:r>
      <w:r w:rsidRPr="00E16AB2">
        <w:rPr>
          <w:iCs/>
        </w:rPr>
        <w:t>investment strategy, the Trustee</w:t>
      </w:r>
      <w:r w:rsidR="007D2CD2">
        <w:rPr>
          <w:iCs/>
        </w:rPr>
        <w:t>s have</w:t>
      </w:r>
      <w:r w:rsidRPr="00E16AB2">
        <w:rPr>
          <w:iCs/>
        </w:rPr>
        <w:t xml:space="preserve"> prioritised assets which provide protection against movements </w:t>
      </w:r>
      <w:r w:rsidR="007D2CD2">
        <w:rPr>
          <w:iCs/>
        </w:rPr>
        <w:t>in the Scheme’s liability value; more generally, the Trustees</w:t>
      </w:r>
      <w:r w:rsidRPr="00E16AB2">
        <w:rPr>
          <w:iCs/>
        </w:rPr>
        <w:t xml:space="preserve"> </w:t>
      </w:r>
      <w:r w:rsidR="007D2CD2">
        <w:rPr>
          <w:iCs/>
        </w:rPr>
        <w:t xml:space="preserve">seek </w:t>
      </w:r>
      <w:r w:rsidRPr="00E16AB2">
        <w:rPr>
          <w:iCs/>
        </w:rPr>
        <w:t>assets which provide diversification across a wide range of investment markets and considers the financially significant benefits of these factors to be paramount</w:t>
      </w:r>
      <w:r>
        <w:rPr>
          <w:iCs/>
        </w:rPr>
        <w:t xml:space="preserve">. </w:t>
      </w:r>
    </w:p>
    <w:p w14:paraId="12AC6939" w14:textId="77777777" w:rsidR="00C60101" w:rsidRPr="0076336A" w:rsidRDefault="00E16AB2" w:rsidP="00C60101">
      <w:r>
        <w:t xml:space="preserve">However, the Trustees understand that they must aim to consider all </w:t>
      </w:r>
      <w:r w:rsidRPr="00C50184">
        <w:t xml:space="preserve">factors that </w:t>
      </w:r>
      <w:proofErr w:type="gramStart"/>
      <w:r w:rsidRPr="00C50184">
        <w:t>have the ability to</w:t>
      </w:r>
      <w:proofErr w:type="gramEnd"/>
      <w:r w:rsidRPr="00C50184">
        <w:t xml:space="preserve"> impact the financial performance of the Scheme’s investments over </w:t>
      </w:r>
      <w:r>
        <w:t>an</w:t>
      </w:r>
      <w:r w:rsidRPr="00C50184">
        <w:t xml:space="preserve"> appropriate time horizon. This includes, but is not limited to, environmental, social and governance (ESG) factors</w:t>
      </w:r>
      <w:r w:rsidR="00C60101">
        <w:rPr>
          <w:iCs/>
        </w:rPr>
        <w:t>.</w:t>
      </w:r>
    </w:p>
    <w:p w14:paraId="7B4D5F22" w14:textId="77777777" w:rsidR="00C60101" w:rsidRPr="0076336A" w:rsidRDefault="00E16AB2" w:rsidP="00C60101">
      <w:r>
        <w:t xml:space="preserve">The Trustees recognise </w:t>
      </w:r>
      <w:r w:rsidRPr="00C50184">
        <w:t>that ESG factors, such as climate change, can influence the in</w:t>
      </w:r>
      <w:r>
        <w:t>vestment performance of the Scheme</w:t>
      </w:r>
      <w:r w:rsidRPr="00C50184">
        <w:t xml:space="preserve">’s portfolio and it is therefore in members’ and the Scheme’s best interests that these factors are </w:t>
      </w:r>
      <w:proofErr w:type="gramStart"/>
      <w:r w:rsidRPr="00C50184">
        <w:t>taken into account</w:t>
      </w:r>
      <w:proofErr w:type="gramEnd"/>
      <w:r w:rsidRPr="00C50184">
        <w:t xml:space="preserve"> within the investment process</w:t>
      </w:r>
      <w:r w:rsidR="00C60101" w:rsidRPr="00085A01">
        <w:t>.</w:t>
      </w:r>
    </w:p>
    <w:p w14:paraId="62479ABA" w14:textId="77777777" w:rsidR="00C60101" w:rsidRPr="00085A01" w:rsidRDefault="00C60101" w:rsidP="00C60101">
      <w:r w:rsidRPr="00085A01">
        <w:t>The Trustees believes that investing with a manager who approaches investments in a responsible way and takes account of ESG-related risks will lead to better risk adjusted performance results as omitting these risks in investment analysis could skew the results and underestimate the level of overall risk being taken.</w:t>
      </w:r>
    </w:p>
    <w:p w14:paraId="7007C9AE" w14:textId="77777777" w:rsidR="00C60101" w:rsidRPr="00085A01" w:rsidRDefault="00C46404" w:rsidP="00C60101">
      <w:r w:rsidRPr="00C50184">
        <w:t>However, the Trustee</w:t>
      </w:r>
      <w:r>
        <w:t>s note</w:t>
      </w:r>
      <w:r w:rsidRPr="00C50184">
        <w:t xml:space="preserve"> that ESG considerations are not paramount to the first level decision making process within the funds which provide either actively managed diversification or leveraged liability protection.</w:t>
      </w:r>
      <w:r>
        <w:t xml:space="preserve"> I</w:t>
      </w:r>
      <w:r w:rsidRPr="00C50184">
        <w:t>n the actively managed Diversified Growth Funds in which the Scheme invests, whilst managers typically do not put ESG considerations at the heart of the asset allocation decision, they will embed ESG considerations into the management of the underlying asset classes where it is appropriate to do so</w:t>
      </w:r>
      <w:r w:rsidR="00C60101">
        <w:t xml:space="preserve">. </w:t>
      </w:r>
    </w:p>
    <w:p w14:paraId="75D0F891" w14:textId="77777777" w:rsidR="00C60101" w:rsidRDefault="00C60101" w:rsidP="00C60101">
      <w:r w:rsidRPr="00085A01">
        <w:t>As noted earlier, the Scheme’s assets are invested in pooled funds. The Trustees accept the fact that they have very limited ability to influence the ESG policies and practices of the companies in which their managers invest. The Trustees will therefore rely on the policies and judgement of their investment manager.</w:t>
      </w:r>
    </w:p>
    <w:p w14:paraId="6CDCC34A" w14:textId="77777777" w:rsidR="00C46404" w:rsidRPr="0076336A" w:rsidRDefault="00C46404" w:rsidP="00C60101">
      <w:r w:rsidRPr="00C46404">
        <w:t>The Trustees are therefore satisfied that ESG factors are appropriately reflected in the overall investment approach</w:t>
      </w:r>
      <w:r>
        <w:t>.</w:t>
      </w:r>
    </w:p>
    <w:p w14:paraId="6C3CEE62" w14:textId="25D845D4" w:rsidR="006B7260" w:rsidRDefault="006B7260" w:rsidP="00C60101">
      <w:pPr>
        <w:rPr>
          <w:rFonts w:ascii="Arial" w:eastAsia="MS Gothic" w:hAnsi="Arial"/>
          <w:bCs/>
          <w:color w:val="00864A"/>
        </w:rPr>
      </w:pPr>
    </w:p>
    <w:p w14:paraId="74FB976D" w14:textId="77777777" w:rsidR="00902EB7" w:rsidRDefault="00902EB7" w:rsidP="00C60101">
      <w:pPr>
        <w:rPr>
          <w:rFonts w:ascii="Arial" w:eastAsia="MS Gothic" w:hAnsi="Arial"/>
          <w:bCs/>
          <w:color w:val="00864A"/>
        </w:rPr>
      </w:pPr>
    </w:p>
    <w:p w14:paraId="78921338" w14:textId="77777777" w:rsidR="00C60101" w:rsidRPr="006B7260" w:rsidRDefault="00C60101" w:rsidP="00C60101">
      <w:pPr>
        <w:rPr>
          <w:rFonts w:ascii="Arial" w:eastAsia="MS Gothic" w:hAnsi="Arial"/>
          <w:bCs/>
          <w:color w:val="00864A"/>
        </w:rPr>
      </w:pPr>
      <w:r w:rsidRPr="006B7260">
        <w:rPr>
          <w:rFonts w:ascii="Arial" w:eastAsia="MS Gothic" w:hAnsi="Arial"/>
          <w:bCs/>
          <w:color w:val="00864A"/>
        </w:rPr>
        <w:t>Non-Financial Considerations</w:t>
      </w:r>
    </w:p>
    <w:p w14:paraId="16F841A9" w14:textId="0706807D" w:rsidR="00C46404" w:rsidRPr="00C46404" w:rsidRDefault="00C46404" w:rsidP="00C46404">
      <w:pPr>
        <w:rPr>
          <w:iCs/>
        </w:rPr>
      </w:pPr>
      <w:r w:rsidRPr="00C46404">
        <w:rPr>
          <w:iCs/>
        </w:rPr>
        <w:t>The Trustees</w:t>
      </w:r>
      <w:r w:rsidR="00CA38D2">
        <w:rPr>
          <w:iCs/>
        </w:rPr>
        <w:t>’</w:t>
      </w:r>
      <w:r w:rsidRPr="00C46404">
        <w:rPr>
          <w:iCs/>
        </w:rPr>
        <w:t xml:space="preserve"> objective is that the financial interests of the Scheme members are </w:t>
      </w:r>
      <w:r w:rsidR="00CA38D2">
        <w:rPr>
          <w:iCs/>
        </w:rPr>
        <w:t>their</w:t>
      </w:r>
      <w:r w:rsidR="00CA38D2" w:rsidRPr="00C46404">
        <w:rPr>
          <w:iCs/>
        </w:rPr>
        <w:t xml:space="preserve"> </w:t>
      </w:r>
      <w:proofErr w:type="gramStart"/>
      <w:r w:rsidRPr="00C46404">
        <w:rPr>
          <w:iCs/>
        </w:rPr>
        <w:t>first priority</w:t>
      </w:r>
      <w:proofErr w:type="gramEnd"/>
      <w:r w:rsidRPr="00C46404">
        <w:rPr>
          <w:iCs/>
        </w:rPr>
        <w:t xml:space="preserve"> when choosing investments. </w:t>
      </w:r>
    </w:p>
    <w:p w14:paraId="4CFB9CAD" w14:textId="77777777" w:rsidR="00C46404" w:rsidRPr="00C46404" w:rsidRDefault="00C46404" w:rsidP="00C46404">
      <w:pPr>
        <w:rPr>
          <w:iCs/>
        </w:rPr>
      </w:pPr>
      <w:r w:rsidRPr="00C46404">
        <w:rPr>
          <w:iCs/>
        </w:rPr>
        <w:t xml:space="preserve">It has decided not to consider non-financial considerations, such as ethical views, or to take members’ preferences into account when setting the investment strategy. </w:t>
      </w:r>
    </w:p>
    <w:p w14:paraId="6BB68019" w14:textId="77777777" w:rsidR="00C60101" w:rsidRPr="0076336A" w:rsidRDefault="00C46404" w:rsidP="00C46404">
      <w:r w:rsidRPr="00C46404">
        <w:rPr>
          <w:iCs/>
        </w:rPr>
        <w:t>However, the Trustees believe that they have a good understanding of membership demographics, behaviours and preferences and, where appropriate, strive to provide a fund range that meets both financial and non-financially relevant member needs</w:t>
      </w:r>
      <w:r w:rsidR="00C60101" w:rsidRPr="00085A01">
        <w:t>.</w:t>
      </w:r>
    </w:p>
    <w:p w14:paraId="535D2476" w14:textId="77777777" w:rsidR="00C60101" w:rsidRPr="006B7260" w:rsidRDefault="00C46404" w:rsidP="00C60101">
      <w:pPr>
        <w:rPr>
          <w:rFonts w:ascii="Arial" w:eastAsia="MS Gothic" w:hAnsi="Arial"/>
          <w:bCs/>
          <w:color w:val="00864A"/>
        </w:rPr>
      </w:pPr>
      <w:bookmarkStart w:id="58" w:name="_Toc10183528"/>
      <w:bookmarkStart w:id="59" w:name="_Toc340582073"/>
      <w:bookmarkStart w:id="60" w:name="_Toc384974784"/>
      <w:bookmarkStart w:id="61" w:name="_Toc373506481"/>
      <w:bookmarkEnd w:id="58"/>
      <w:bookmarkEnd w:id="59"/>
      <w:bookmarkEnd w:id="60"/>
      <w:bookmarkEnd w:id="61"/>
      <w:r w:rsidRPr="006B7260">
        <w:rPr>
          <w:rFonts w:ascii="Arial" w:eastAsia="MS Gothic" w:hAnsi="Arial"/>
          <w:bCs/>
          <w:color w:val="00864A"/>
        </w:rPr>
        <w:t xml:space="preserve">Stewardship: </w:t>
      </w:r>
      <w:r w:rsidR="00C60101" w:rsidRPr="006B7260">
        <w:rPr>
          <w:rFonts w:ascii="Arial" w:eastAsia="MS Gothic" w:hAnsi="Arial"/>
          <w:bCs/>
          <w:color w:val="00864A"/>
        </w:rPr>
        <w:t>Corporate Governance and Voting Policy</w:t>
      </w:r>
    </w:p>
    <w:p w14:paraId="374C9391" w14:textId="60EF0949" w:rsidR="00C46404" w:rsidRDefault="00C46404" w:rsidP="00C46404">
      <w:r>
        <w:t xml:space="preserve">The Scheme is invested solely in pooled investment funds. The Trustees’ policy is to delegate responsibility for engaging with, monitoring investee companies and exercising voting rights to the pooled fund investment managers and expects the investment managers to use their discretion to act in the </w:t>
      </w:r>
      <w:r w:rsidR="007513FE">
        <w:t>long-term</w:t>
      </w:r>
      <w:r>
        <w:t xml:space="preserve"> financial interests of investors. </w:t>
      </w:r>
    </w:p>
    <w:p w14:paraId="0FC5ED35" w14:textId="1F7BFB1A" w:rsidR="00C46404" w:rsidRDefault="00C46404" w:rsidP="00C46404">
      <w:r>
        <w:t>The Trustee</w:t>
      </w:r>
      <w:r w:rsidR="00CA38D2">
        <w:t>s</w:t>
      </w:r>
      <w:r>
        <w:t xml:space="preserve"> note that the investment managers’ corporate governance policies are available on request and on their respective websites.</w:t>
      </w:r>
    </w:p>
    <w:p w14:paraId="3729C154" w14:textId="77777777" w:rsidR="00C46404" w:rsidRDefault="00C46404" w:rsidP="00C46404">
      <w:r>
        <w:t>The Trustees are supportive of the UK Stewardship Code published by the Financial Reporting Council and encourage the Scheme’s underlying managers who are regulated by the Financial Conduct Authority to comply with the UK Stewardship Code. Such managers are expected to report on their adherence to the Code on an annual basis. For managers that choose not to comply with any of the principles in the UK Stewardship Code, or not to follow the guidance at all, the Trustees will request a clear rationale from the managers on their alternative approach to stewardship.</w:t>
      </w:r>
      <w:r w:rsidR="007D2CD2">
        <w:t xml:space="preserve"> </w:t>
      </w:r>
      <w:r w:rsidR="007D2CD2" w:rsidRPr="00D676D3">
        <w:t>The Trustees review the investment managers’ policies and engagement activities (where applicable) on an annual basis.</w:t>
      </w:r>
    </w:p>
    <w:p w14:paraId="57EA7A66" w14:textId="77777777" w:rsidR="00C60101" w:rsidRPr="0076336A" w:rsidRDefault="00C46404" w:rsidP="00C46404">
      <w:r>
        <w:t xml:space="preserve">Where the Trustees are specifically invited to vote on a matter relating to corporate policy, the Trustees will exercise its right in accordance with what it believes to be the best interests of </w:t>
      </w:r>
      <w:proofErr w:type="gramStart"/>
      <w:r>
        <w:t>the majority of</w:t>
      </w:r>
      <w:proofErr w:type="gramEnd"/>
      <w:r>
        <w:t xml:space="preserve"> the Scheme’s membership</w:t>
      </w:r>
      <w:r w:rsidR="00C60101" w:rsidRPr="00085A01">
        <w:t>.</w:t>
      </w:r>
    </w:p>
    <w:p w14:paraId="59666E73" w14:textId="77777777" w:rsidR="00C60101" w:rsidRDefault="00C60101" w:rsidP="00C60101">
      <w:r w:rsidRPr="00085A01">
        <w:t>The Trustees will monitor the performance, strategy, risks, ESG policies and corporate governance of the investment managers. If the Trustees have any concerns, they will raise them with the respective managers, verbally</w:t>
      </w:r>
      <w:r w:rsidR="00C46404">
        <w:rPr>
          <w:iCs/>
        </w:rPr>
        <w:t xml:space="preserve"> or in writing</w:t>
      </w:r>
      <w:r w:rsidRPr="00943241">
        <w:t>.</w:t>
      </w:r>
      <w:r>
        <w:t xml:space="preserve"> </w:t>
      </w:r>
    </w:p>
    <w:p w14:paraId="49A811FC" w14:textId="77777777" w:rsidR="006B7260" w:rsidRDefault="006B7260" w:rsidP="00C60101">
      <w:pPr>
        <w:rPr>
          <w:rFonts w:ascii="Arial" w:eastAsia="MS Gothic" w:hAnsi="Arial"/>
          <w:bCs/>
          <w:color w:val="00864A"/>
        </w:rPr>
      </w:pPr>
    </w:p>
    <w:p w14:paraId="4FC6D314" w14:textId="77777777" w:rsidR="006B7260" w:rsidRDefault="006B7260" w:rsidP="00C60101">
      <w:pPr>
        <w:rPr>
          <w:rFonts w:ascii="Arial" w:eastAsia="MS Gothic" w:hAnsi="Arial"/>
          <w:bCs/>
          <w:color w:val="00864A"/>
        </w:rPr>
      </w:pPr>
    </w:p>
    <w:p w14:paraId="199C7AA3" w14:textId="77777777" w:rsidR="00C46404" w:rsidRPr="006B7260" w:rsidRDefault="00C46404" w:rsidP="00C60101">
      <w:pPr>
        <w:rPr>
          <w:rFonts w:ascii="Arial" w:eastAsia="MS Gothic" w:hAnsi="Arial"/>
          <w:bCs/>
          <w:color w:val="00864A"/>
        </w:rPr>
      </w:pPr>
      <w:r w:rsidRPr="006B7260">
        <w:rPr>
          <w:rFonts w:ascii="Arial" w:eastAsia="MS Gothic" w:hAnsi="Arial"/>
          <w:bCs/>
          <w:color w:val="00864A"/>
        </w:rPr>
        <w:t>Member Views</w:t>
      </w:r>
    </w:p>
    <w:p w14:paraId="231986EC" w14:textId="77777777" w:rsidR="00C46404" w:rsidRPr="00C46404" w:rsidRDefault="007D2CD2" w:rsidP="00C60101">
      <w:r w:rsidRPr="007D2CD2">
        <w:t xml:space="preserve">Whilst the Trustees do not explicitly take account of member views when selecting investments for the Scheme, they are always in open discussion with their members. The Trustees believe that they have a good understanding of membership demographics, behaviours and preferences and strive to provide a fund range that meets both financial and non-financially relevant member needs. Furthermore, the Trustees have and will continue to consult with the </w:t>
      </w:r>
      <w:r>
        <w:t>Sponsoring</w:t>
      </w:r>
      <w:r w:rsidRPr="007D2CD2">
        <w:t xml:space="preserve"> Employer to ensure that the Scheme’s investments are aligned with the overall values</w:t>
      </w:r>
      <w:r>
        <w:t xml:space="preserve"> and principles of the Employer</w:t>
      </w:r>
      <w:r w:rsidR="00C46404">
        <w:t>.</w:t>
      </w:r>
    </w:p>
    <w:p w14:paraId="2559DF0E" w14:textId="77777777" w:rsidR="003F7EA0" w:rsidRDefault="00615129" w:rsidP="00C46404">
      <w:pPr>
        <w:pStyle w:val="Heading1"/>
        <w:numPr>
          <w:ilvl w:val="0"/>
          <w:numId w:val="28"/>
        </w:numPr>
        <w:spacing w:after="240"/>
        <w:ind w:left="0" w:hanging="437"/>
        <w:rPr>
          <w:rFonts w:hint="eastAsia"/>
        </w:rPr>
      </w:pPr>
      <w:r>
        <w:rPr>
          <w:rFonts w:hint="eastAsia"/>
        </w:rPr>
        <w:br w:type="page"/>
      </w:r>
      <w:bookmarkStart w:id="62" w:name="_Toc146806589"/>
      <w:r w:rsidR="003F7EA0">
        <w:t>Risk</w:t>
      </w:r>
      <w:bookmarkEnd w:id="62"/>
    </w:p>
    <w:p w14:paraId="03CEF554" w14:textId="746A2A23" w:rsidR="00615129" w:rsidRDefault="003F7EA0" w:rsidP="00615129">
      <w:r>
        <w:t xml:space="preserve">The Trustees are aware, and seek to take account, of </w:t>
      </w:r>
      <w:proofErr w:type="gramStart"/>
      <w:r>
        <w:t>a number of</w:t>
      </w:r>
      <w:proofErr w:type="gramEnd"/>
      <w:r>
        <w:t xml:space="preserve"> risks in relation to the Scheme’s investments, including those set out below. Under the Pensions Act 2004, the Trustees are required to state their policy regarding the ways in which risks ar</w:t>
      </w:r>
      <w:r w:rsidR="00615129">
        <w:t xml:space="preserve">e to be measured and managed.  </w:t>
      </w:r>
    </w:p>
    <w:p w14:paraId="35A657CE" w14:textId="77777777" w:rsidR="003F7EA0" w:rsidRDefault="003F7EA0" w:rsidP="003F7EA0">
      <w:pPr>
        <w:spacing w:after="240"/>
      </w:pPr>
      <w:r>
        <w:t>Broadly speaking, the main types of investment risk can be identified are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1283"/>
        <w:gridCol w:w="36"/>
        <w:gridCol w:w="2797"/>
        <w:gridCol w:w="50"/>
        <w:gridCol w:w="2793"/>
      </w:tblGrid>
      <w:tr w:rsidR="003F7EA0" w:rsidRPr="006970DB" w14:paraId="7A549B27" w14:textId="77777777" w:rsidTr="00902EB7">
        <w:tc>
          <w:tcPr>
            <w:tcW w:w="826" w:type="dxa"/>
            <w:shd w:val="clear" w:color="auto" w:fill="39A56A"/>
          </w:tcPr>
          <w:p w14:paraId="49834DD5" w14:textId="77777777" w:rsidR="003F7EA0" w:rsidRPr="0074501C" w:rsidRDefault="003F7EA0" w:rsidP="0074501C">
            <w:pPr>
              <w:pStyle w:val="BodyText"/>
              <w:spacing w:after="240"/>
              <w:rPr>
                <w:b/>
                <w:color w:val="FFFFFF"/>
                <w:szCs w:val="20"/>
              </w:rPr>
            </w:pPr>
            <w:r w:rsidRPr="0074501C">
              <w:rPr>
                <w:b/>
                <w:color w:val="FFFFFF"/>
                <w:szCs w:val="20"/>
              </w:rPr>
              <w:t>Type of Risk</w:t>
            </w:r>
          </w:p>
        </w:tc>
        <w:tc>
          <w:tcPr>
            <w:tcW w:w="1319" w:type="dxa"/>
            <w:gridSpan w:val="2"/>
            <w:shd w:val="clear" w:color="auto" w:fill="39A56A"/>
          </w:tcPr>
          <w:p w14:paraId="4D4DAF9B" w14:textId="77777777" w:rsidR="003F7EA0" w:rsidRPr="0074501C" w:rsidRDefault="003F7EA0" w:rsidP="0074501C">
            <w:pPr>
              <w:pStyle w:val="BodyText"/>
              <w:spacing w:after="240"/>
              <w:rPr>
                <w:b/>
                <w:color w:val="FFFFFF"/>
                <w:szCs w:val="20"/>
              </w:rPr>
            </w:pPr>
            <w:r w:rsidRPr="0074501C">
              <w:rPr>
                <w:b/>
                <w:color w:val="FFFFFF"/>
                <w:szCs w:val="20"/>
              </w:rPr>
              <w:t>Risk</w:t>
            </w:r>
          </w:p>
        </w:tc>
        <w:tc>
          <w:tcPr>
            <w:tcW w:w="2797" w:type="dxa"/>
            <w:shd w:val="clear" w:color="auto" w:fill="39A56A"/>
          </w:tcPr>
          <w:p w14:paraId="3856B53C" w14:textId="77777777" w:rsidR="003F7EA0" w:rsidRPr="0074501C" w:rsidRDefault="003F7EA0" w:rsidP="0074501C">
            <w:pPr>
              <w:pStyle w:val="BodyText"/>
              <w:spacing w:after="240"/>
              <w:rPr>
                <w:b/>
                <w:color w:val="FFFFFF"/>
                <w:szCs w:val="20"/>
              </w:rPr>
            </w:pPr>
            <w:r w:rsidRPr="0074501C">
              <w:rPr>
                <w:b/>
                <w:color w:val="FFFFFF"/>
                <w:szCs w:val="20"/>
              </w:rPr>
              <w:t>Description</w:t>
            </w:r>
          </w:p>
        </w:tc>
        <w:tc>
          <w:tcPr>
            <w:tcW w:w="2843" w:type="dxa"/>
            <w:gridSpan w:val="2"/>
            <w:shd w:val="clear" w:color="auto" w:fill="39A56A"/>
          </w:tcPr>
          <w:p w14:paraId="71739629" w14:textId="77777777" w:rsidR="003F7EA0" w:rsidRPr="0074501C" w:rsidRDefault="003F7EA0" w:rsidP="0074501C">
            <w:pPr>
              <w:pStyle w:val="BodyText"/>
              <w:spacing w:after="240"/>
              <w:rPr>
                <w:b/>
                <w:color w:val="FFFFFF"/>
                <w:szCs w:val="20"/>
              </w:rPr>
            </w:pPr>
            <w:r w:rsidRPr="0074501C">
              <w:rPr>
                <w:b/>
                <w:color w:val="FFFFFF"/>
                <w:szCs w:val="20"/>
              </w:rPr>
              <w:t>How is the risk monitored and managed?</w:t>
            </w:r>
          </w:p>
        </w:tc>
      </w:tr>
      <w:tr w:rsidR="003F7EA0" w:rsidRPr="006B1E8E" w14:paraId="62341809" w14:textId="77777777" w:rsidTr="00902EB7">
        <w:trPr>
          <w:trHeight w:val="374"/>
        </w:trPr>
        <w:tc>
          <w:tcPr>
            <w:tcW w:w="7785" w:type="dxa"/>
            <w:gridSpan w:val="6"/>
            <w:shd w:val="clear" w:color="auto" w:fill="39A56A"/>
            <w:vAlign w:val="center"/>
          </w:tcPr>
          <w:p w14:paraId="1AD1158A" w14:textId="725CD70E" w:rsidR="003F7EA0" w:rsidRPr="0074501C" w:rsidRDefault="003F7EA0">
            <w:pPr>
              <w:pStyle w:val="BodyText"/>
              <w:spacing w:after="240"/>
              <w:rPr>
                <w:b/>
                <w:color w:val="FFFFFF"/>
                <w:szCs w:val="20"/>
              </w:rPr>
            </w:pPr>
            <w:r w:rsidRPr="0074501C">
              <w:rPr>
                <w:b/>
                <w:color w:val="FFFFFF"/>
                <w:szCs w:val="20"/>
              </w:rPr>
              <w:t>Risks affecting the Scheme</w:t>
            </w:r>
          </w:p>
        </w:tc>
      </w:tr>
      <w:tr w:rsidR="003F7EA0" w:rsidRPr="006970DB" w14:paraId="168103ED" w14:textId="77777777" w:rsidTr="00902EB7">
        <w:tc>
          <w:tcPr>
            <w:tcW w:w="826" w:type="dxa"/>
            <w:vMerge w:val="restart"/>
            <w:textDirection w:val="btLr"/>
            <w:vAlign w:val="center"/>
          </w:tcPr>
          <w:p w14:paraId="038B075C" w14:textId="6EB32048" w:rsidR="003F7EA0" w:rsidRPr="0074501C" w:rsidRDefault="00615129" w:rsidP="0074501C">
            <w:pPr>
              <w:pStyle w:val="BodyText"/>
              <w:ind w:left="113" w:right="113"/>
              <w:jc w:val="center"/>
              <w:rPr>
                <w:rFonts w:ascii="Calibri" w:eastAsia="MS Gothic" w:hAnsi="Calibri" w:cs="Calibri"/>
                <w:b/>
                <w:bCs/>
                <w:color w:val="00864A"/>
                <w:sz w:val="22"/>
              </w:rPr>
            </w:pPr>
            <w:r>
              <w:rPr>
                <w:rFonts w:ascii="Calibri" w:eastAsia="MS Gothic" w:hAnsi="Calibri" w:cs="Calibri"/>
                <w:b/>
                <w:bCs/>
                <w:color w:val="00864A"/>
                <w:sz w:val="24"/>
              </w:rPr>
              <w:t xml:space="preserve">Market </w:t>
            </w:r>
            <w:r w:rsidR="00CA38D2">
              <w:rPr>
                <w:rFonts w:ascii="Calibri" w:eastAsia="MS Gothic" w:hAnsi="Calibri" w:cs="Calibri"/>
                <w:b/>
                <w:bCs/>
                <w:color w:val="00864A"/>
                <w:sz w:val="24"/>
              </w:rPr>
              <w:t>Risk</w:t>
            </w:r>
          </w:p>
        </w:tc>
        <w:tc>
          <w:tcPr>
            <w:tcW w:w="1319" w:type="dxa"/>
            <w:gridSpan w:val="2"/>
          </w:tcPr>
          <w:p w14:paraId="07A61217" w14:textId="77777777" w:rsidR="003F7EA0" w:rsidRPr="0074501C" w:rsidRDefault="003F7EA0" w:rsidP="0074501C">
            <w:pPr>
              <w:pStyle w:val="ListBullet"/>
              <w:numPr>
                <w:ilvl w:val="0"/>
                <w:numId w:val="0"/>
              </w:numPr>
              <w:rPr>
                <w:rFonts w:ascii="Calibri" w:eastAsia="MS Gothic" w:hAnsi="Calibri" w:cs="Calibri"/>
                <w:b/>
                <w:bCs/>
                <w:color w:val="00864A"/>
                <w:sz w:val="22"/>
              </w:rPr>
            </w:pPr>
            <w:r w:rsidRPr="0074501C">
              <w:rPr>
                <w:rFonts w:ascii="Calibri" w:eastAsia="MS Gothic" w:hAnsi="Calibri" w:cs="Calibri"/>
                <w:b/>
                <w:bCs/>
                <w:color w:val="00864A"/>
                <w:sz w:val="22"/>
              </w:rPr>
              <w:t>Inflation Risk</w:t>
            </w:r>
          </w:p>
          <w:p w14:paraId="0910C2A4" w14:textId="77777777" w:rsidR="003F7EA0" w:rsidRPr="0074501C" w:rsidRDefault="003F7EA0" w:rsidP="0074501C">
            <w:pPr>
              <w:pStyle w:val="BodyText"/>
              <w:rPr>
                <w:rFonts w:ascii="Calibri" w:eastAsia="MS Gothic" w:hAnsi="Calibri" w:cs="Calibri"/>
                <w:b/>
                <w:bCs/>
                <w:color w:val="00864A"/>
                <w:sz w:val="22"/>
              </w:rPr>
            </w:pPr>
          </w:p>
        </w:tc>
        <w:tc>
          <w:tcPr>
            <w:tcW w:w="2797" w:type="dxa"/>
          </w:tcPr>
          <w:p w14:paraId="6307CF97" w14:textId="58D4E327" w:rsidR="003F7EA0" w:rsidRDefault="003F7EA0" w:rsidP="0074501C">
            <w:pPr>
              <w:pStyle w:val="BodyText"/>
              <w:tabs>
                <w:tab w:val="left" w:pos="165"/>
              </w:tabs>
              <w:spacing w:after="240"/>
              <w:rPr>
                <w:rFonts w:ascii="Calibri" w:eastAsia="Calibri" w:hAnsi="Calibri"/>
                <w:color w:val="404040"/>
                <w:sz w:val="22"/>
              </w:rPr>
            </w:pPr>
            <w:r w:rsidRPr="0074501C">
              <w:rPr>
                <w:rFonts w:ascii="Calibri" w:eastAsia="Calibri" w:hAnsi="Calibri"/>
                <w:color w:val="404040"/>
                <w:sz w:val="22"/>
              </w:rPr>
              <w:t>The risk that investments will not grow quickly enough to sufficiently outpace inflation (the cost of living).</w:t>
            </w:r>
          </w:p>
          <w:p w14:paraId="3DB3AEAB" w14:textId="77777777" w:rsidR="00615129" w:rsidRDefault="00615129" w:rsidP="0074501C">
            <w:pPr>
              <w:pStyle w:val="BodyText"/>
              <w:tabs>
                <w:tab w:val="left" w:pos="165"/>
              </w:tabs>
              <w:spacing w:after="240"/>
              <w:rPr>
                <w:rFonts w:ascii="Calibri" w:eastAsia="Calibri" w:hAnsi="Calibri"/>
                <w:color w:val="404040"/>
                <w:sz w:val="22"/>
              </w:rPr>
            </w:pPr>
          </w:p>
          <w:p w14:paraId="3140B5A8" w14:textId="77777777" w:rsidR="00615129" w:rsidRDefault="00615129" w:rsidP="0074501C">
            <w:pPr>
              <w:pStyle w:val="BodyText"/>
              <w:tabs>
                <w:tab w:val="left" w:pos="165"/>
              </w:tabs>
              <w:spacing w:after="240"/>
              <w:rPr>
                <w:rFonts w:ascii="Calibri" w:eastAsia="Calibri" w:hAnsi="Calibri"/>
                <w:color w:val="404040"/>
                <w:sz w:val="22"/>
              </w:rPr>
            </w:pPr>
          </w:p>
          <w:p w14:paraId="1A85B836" w14:textId="77777777" w:rsidR="00615129" w:rsidRPr="0074501C" w:rsidRDefault="00615129" w:rsidP="0074501C">
            <w:pPr>
              <w:pStyle w:val="BodyText"/>
              <w:tabs>
                <w:tab w:val="left" w:pos="165"/>
              </w:tabs>
              <w:spacing w:after="240"/>
              <w:rPr>
                <w:rFonts w:ascii="Calibri" w:eastAsia="Calibri" w:hAnsi="Calibri"/>
                <w:color w:val="404040"/>
                <w:sz w:val="22"/>
              </w:rPr>
            </w:pPr>
          </w:p>
        </w:tc>
        <w:tc>
          <w:tcPr>
            <w:tcW w:w="2843" w:type="dxa"/>
            <w:gridSpan w:val="2"/>
            <w:vMerge w:val="restart"/>
            <w:vAlign w:val="center"/>
          </w:tcPr>
          <w:p w14:paraId="6052AAD0" w14:textId="3B9AE500" w:rsidR="003F7EA0" w:rsidRPr="0074501C" w:rsidRDefault="00902EB7" w:rsidP="0074501C">
            <w:pPr>
              <w:pStyle w:val="BodyText"/>
              <w:rPr>
                <w:rFonts w:ascii="Calibri" w:eastAsia="Calibri" w:hAnsi="Calibri"/>
                <w:color w:val="404040"/>
                <w:sz w:val="22"/>
              </w:rPr>
            </w:pPr>
            <w:proofErr w:type="gramStart"/>
            <w:r>
              <w:rPr>
                <w:rFonts w:ascii="Calibri" w:eastAsia="Calibri" w:hAnsi="Calibri"/>
                <w:color w:val="404040"/>
                <w:sz w:val="22"/>
              </w:rPr>
              <w:t>The majority of</w:t>
            </w:r>
            <w:proofErr w:type="gramEnd"/>
            <w:r>
              <w:rPr>
                <w:rFonts w:ascii="Calibri" w:eastAsia="Calibri" w:hAnsi="Calibri"/>
                <w:color w:val="404040"/>
                <w:sz w:val="22"/>
              </w:rPr>
              <w:t xml:space="preserve"> the market risk is mitigated by the buy-in policy held with LGAS. For the remaining invested assets, t</w:t>
            </w:r>
            <w:r w:rsidR="003F7EA0" w:rsidRPr="0074501C">
              <w:rPr>
                <w:rFonts w:ascii="Calibri" w:eastAsia="Calibri" w:hAnsi="Calibri"/>
                <w:color w:val="404040"/>
                <w:sz w:val="22"/>
              </w:rPr>
              <w:t>he Trustees will ensure that they are comfortable with the amount of risk that the Scheme’s investment manager takes and will ensure assets are invested in a diverse portfolio across various markets.</w:t>
            </w:r>
          </w:p>
          <w:p w14:paraId="5E6FE093" w14:textId="77777777" w:rsidR="003F7EA0" w:rsidRPr="0074501C" w:rsidRDefault="003F7EA0" w:rsidP="0074501C">
            <w:pPr>
              <w:pStyle w:val="BodyText"/>
              <w:rPr>
                <w:rFonts w:ascii="Calibri" w:eastAsia="Calibri" w:hAnsi="Calibri"/>
                <w:color w:val="404040"/>
                <w:sz w:val="22"/>
              </w:rPr>
            </w:pPr>
          </w:p>
          <w:p w14:paraId="2E4B36C6" w14:textId="22C0BAF2" w:rsidR="003F7EA0" w:rsidRPr="0074501C" w:rsidRDefault="003F7EA0">
            <w:pPr>
              <w:pStyle w:val="BodyText"/>
              <w:rPr>
                <w:rFonts w:ascii="Calibri" w:eastAsia="Calibri" w:hAnsi="Calibri"/>
                <w:color w:val="404040"/>
                <w:sz w:val="22"/>
              </w:rPr>
            </w:pPr>
          </w:p>
        </w:tc>
      </w:tr>
      <w:tr w:rsidR="00902EB7" w:rsidRPr="006970DB" w14:paraId="20686491" w14:textId="77777777" w:rsidTr="00902EB7">
        <w:tc>
          <w:tcPr>
            <w:tcW w:w="826" w:type="dxa"/>
            <w:vMerge/>
            <w:textDirection w:val="btLr"/>
            <w:vAlign w:val="center"/>
          </w:tcPr>
          <w:p w14:paraId="7900D6B2" w14:textId="77777777" w:rsidR="00902EB7" w:rsidRDefault="00902EB7" w:rsidP="00902EB7">
            <w:pPr>
              <w:pStyle w:val="BodyText"/>
              <w:ind w:left="113" w:right="113"/>
              <w:jc w:val="center"/>
              <w:rPr>
                <w:rFonts w:ascii="Calibri" w:eastAsia="MS Gothic" w:hAnsi="Calibri" w:cs="Calibri"/>
                <w:b/>
                <w:bCs/>
                <w:color w:val="00864A"/>
                <w:sz w:val="24"/>
              </w:rPr>
            </w:pPr>
          </w:p>
        </w:tc>
        <w:tc>
          <w:tcPr>
            <w:tcW w:w="1319" w:type="dxa"/>
            <w:gridSpan w:val="2"/>
          </w:tcPr>
          <w:p w14:paraId="30397402" w14:textId="5AD80AF0" w:rsidR="00902EB7" w:rsidRPr="0074501C" w:rsidRDefault="00902EB7" w:rsidP="00902EB7">
            <w:pPr>
              <w:pStyle w:val="ListBullet"/>
              <w:numPr>
                <w:ilvl w:val="0"/>
                <w:numId w:val="0"/>
              </w:numPr>
              <w:rPr>
                <w:rFonts w:ascii="Calibri" w:eastAsia="MS Gothic" w:hAnsi="Calibri" w:cs="Calibri"/>
                <w:b/>
                <w:bCs/>
                <w:color w:val="00864A"/>
                <w:sz w:val="22"/>
              </w:rPr>
            </w:pPr>
            <w:r w:rsidRPr="00902EB7">
              <w:rPr>
                <w:rFonts w:ascii="Calibri" w:eastAsia="MS Gothic" w:hAnsi="Calibri" w:cs="Calibri"/>
                <w:b/>
                <w:bCs/>
                <w:color w:val="00864A"/>
                <w:sz w:val="22"/>
              </w:rPr>
              <w:t>Interest Rate Risk</w:t>
            </w:r>
          </w:p>
        </w:tc>
        <w:tc>
          <w:tcPr>
            <w:tcW w:w="2797" w:type="dxa"/>
          </w:tcPr>
          <w:p w14:paraId="2D287F3E" w14:textId="77777777" w:rsidR="00902EB7" w:rsidRPr="0074501C" w:rsidRDefault="00902EB7" w:rsidP="00902EB7">
            <w:pPr>
              <w:pStyle w:val="BodyText"/>
              <w:spacing w:after="240"/>
              <w:rPr>
                <w:rFonts w:ascii="Calibri" w:eastAsia="Calibri" w:hAnsi="Calibri"/>
                <w:color w:val="404040"/>
                <w:sz w:val="22"/>
              </w:rPr>
            </w:pPr>
            <w:r w:rsidRPr="0074501C">
              <w:rPr>
                <w:rFonts w:ascii="Calibri" w:eastAsia="Calibri" w:hAnsi="Calibri"/>
                <w:color w:val="404040"/>
                <w:sz w:val="22"/>
              </w:rPr>
              <w:t>This is the risk that an investment’s value will change due to a change in the level of interest rates. This affects debt instruments more directly than growth instruments.</w:t>
            </w:r>
          </w:p>
          <w:p w14:paraId="2724489F" w14:textId="10CA5D97" w:rsidR="00902EB7" w:rsidRPr="0074501C" w:rsidRDefault="00902EB7" w:rsidP="00902EB7">
            <w:pPr>
              <w:pStyle w:val="BodyText"/>
              <w:tabs>
                <w:tab w:val="left" w:pos="165"/>
              </w:tabs>
              <w:spacing w:after="240"/>
              <w:rPr>
                <w:rFonts w:ascii="Calibri" w:eastAsia="Calibri" w:hAnsi="Calibri"/>
                <w:color w:val="404040"/>
                <w:sz w:val="22"/>
              </w:rPr>
            </w:pPr>
          </w:p>
        </w:tc>
        <w:tc>
          <w:tcPr>
            <w:tcW w:w="2843" w:type="dxa"/>
            <w:gridSpan w:val="2"/>
            <w:vMerge/>
            <w:vAlign w:val="center"/>
          </w:tcPr>
          <w:p w14:paraId="3602B1B6" w14:textId="77777777" w:rsidR="00902EB7" w:rsidRPr="00615129" w:rsidRDefault="00902EB7" w:rsidP="00902EB7">
            <w:pPr>
              <w:pStyle w:val="BodyText"/>
              <w:rPr>
                <w:rFonts w:ascii="Calibri" w:eastAsia="MS Gothic" w:hAnsi="Calibri" w:cs="Calibri"/>
                <w:b/>
                <w:bCs/>
                <w:color w:val="00864A"/>
                <w:sz w:val="22"/>
              </w:rPr>
            </w:pPr>
          </w:p>
        </w:tc>
      </w:tr>
      <w:tr w:rsidR="003F7EA0" w:rsidRPr="006970DB" w14:paraId="63B3FB3D" w14:textId="77777777" w:rsidTr="00902EB7">
        <w:trPr>
          <w:trHeight w:val="3472"/>
        </w:trPr>
        <w:tc>
          <w:tcPr>
            <w:tcW w:w="826" w:type="dxa"/>
            <w:vMerge/>
          </w:tcPr>
          <w:p w14:paraId="6E806533" w14:textId="77777777" w:rsidR="003F7EA0" w:rsidRPr="0074501C" w:rsidRDefault="003F7EA0" w:rsidP="0074501C">
            <w:pPr>
              <w:pStyle w:val="BodyText"/>
              <w:spacing w:before="0" w:after="240"/>
              <w:rPr>
                <w:rFonts w:ascii="Calibri" w:hAnsi="Calibri" w:cs="Calibri"/>
                <w:sz w:val="22"/>
              </w:rPr>
            </w:pPr>
          </w:p>
        </w:tc>
        <w:tc>
          <w:tcPr>
            <w:tcW w:w="1319" w:type="dxa"/>
            <w:gridSpan w:val="2"/>
          </w:tcPr>
          <w:p w14:paraId="4EB74804" w14:textId="77777777" w:rsidR="003F7EA0" w:rsidRPr="0074501C" w:rsidRDefault="003F7EA0" w:rsidP="0074501C">
            <w:pPr>
              <w:pStyle w:val="Heading3"/>
              <w:spacing w:before="0" w:after="240"/>
              <w:rPr>
                <w:rFonts w:ascii="Calibri" w:hAnsi="Calibri" w:cs="Calibri"/>
                <w:b/>
              </w:rPr>
            </w:pPr>
            <w:bookmarkStart w:id="63" w:name="_Toc49344771"/>
            <w:bookmarkStart w:id="64" w:name="_Toc146806590"/>
            <w:r w:rsidRPr="0074501C">
              <w:rPr>
                <w:rFonts w:ascii="Calibri" w:hAnsi="Calibri" w:cs="Calibri"/>
                <w:b/>
              </w:rPr>
              <w:t>Currency Risk</w:t>
            </w:r>
            <w:bookmarkEnd w:id="63"/>
            <w:bookmarkEnd w:id="64"/>
          </w:p>
          <w:p w14:paraId="6852B045" w14:textId="77777777" w:rsidR="003F7EA0" w:rsidRPr="0074501C" w:rsidRDefault="003F7EA0" w:rsidP="0074501C">
            <w:pPr>
              <w:pStyle w:val="BodyText"/>
              <w:spacing w:before="0" w:after="240"/>
              <w:rPr>
                <w:rFonts w:ascii="Calibri" w:hAnsi="Calibri" w:cs="Calibri"/>
                <w:sz w:val="22"/>
              </w:rPr>
            </w:pPr>
          </w:p>
        </w:tc>
        <w:tc>
          <w:tcPr>
            <w:tcW w:w="2797" w:type="dxa"/>
          </w:tcPr>
          <w:p w14:paraId="474139B5" w14:textId="77777777" w:rsidR="00615129" w:rsidRDefault="003F7EA0" w:rsidP="0074501C">
            <w:pPr>
              <w:pStyle w:val="ListBullet"/>
              <w:numPr>
                <w:ilvl w:val="0"/>
                <w:numId w:val="0"/>
              </w:numPr>
              <w:tabs>
                <w:tab w:val="left" w:pos="264"/>
              </w:tabs>
              <w:spacing w:before="0" w:after="240"/>
              <w:ind w:left="43" w:hanging="43"/>
              <w:rPr>
                <w:rFonts w:ascii="Calibri" w:eastAsia="Calibri" w:hAnsi="Calibri"/>
                <w:color w:val="404040"/>
                <w:sz w:val="22"/>
              </w:rPr>
            </w:pPr>
            <w:r w:rsidRPr="0074501C">
              <w:rPr>
                <w:rFonts w:ascii="Calibri" w:eastAsia="Calibri" w:hAnsi="Calibri"/>
                <w:color w:val="404040"/>
                <w:sz w:val="22"/>
              </w:rPr>
              <w:t xml:space="preserve">This is the risk that occurs when the price of one currency moves relative to another (reference) currency.  </w:t>
            </w:r>
          </w:p>
          <w:p w14:paraId="2C4FAB26" w14:textId="77777777" w:rsidR="00615129" w:rsidRDefault="003F7EA0" w:rsidP="0074501C">
            <w:pPr>
              <w:pStyle w:val="ListBullet"/>
              <w:numPr>
                <w:ilvl w:val="0"/>
                <w:numId w:val="0"/>
              </w:numPr>
              <w:tabs>
                <w:tab w:val="left" w:pos="264"/>
              </w:tabs>
              <w:spacing w:before="0" w:after="240"/>
              <w:ind w:left="43" w:hanging="43"/>
              <w:rPr>
                <w:rFonts w:ascii="Calibri" w:eastAsia="Calibri" w:hAnsi="Calibri"/>
                <w:color w:val="404040"/>
                <w:sz w:val="22"/>
              </w:rPr>
            </w:pPr>
            <w:r w:rsidRPr="0074501C">
              <w:rPr>
                <w:rFonts w:ascii="Calibri" w:eastAsia="Calibri" w:hAnsi="Calibri"/>
                <w:color w:val="404040"/>
                <w:sz w:val="22"/>
              </w:rPr>
              <w:t xml:space="preserve">The Scheme may be invested in overseas stocks or assets, which are either directly or indirectly linked to a currency other than Sterling.  </w:t>
            </w:r>
          </w:p>
          <w:p w14:paraId="076594D8" w14:textId="77777777" w:rsidR="003F7EA0" w:rsidRPr="0074501C" w:rsidRDefault="003F7EA0" w:rsidP="0074501C">
            <w:pPr>
              <w:pStyle w:val="ListBullet"/>
              <w:numPr>
                <w:ilvl w:val="0"/>
                <w:numId w:val="0"/>
              </w:numPr>
              <w:tabs>
                <w:tab w:val="left" w:pos="264"/>
              </w:tabs>
              <w:spacing w:before="0" w:after="240"/>
              <w:ind w:left="43" w:hanging="43"/>
              <w:rPr>
                <w:rFonts w:ascii="Calibri" w:eastAsia="Calibri" w:hAnsi="Calibri"/>
                <w:color w:val="404040"/>
                <w:sz w:val="22"/>
              </w:rPr>
            </w:pPr>
            <w:r w:rsidRPr="0074501C">
              <w:rPr>
                <w:rFonts w:ascii="Calibri" w:eastAsia="Calibri" w:hAnsi="Calibri"/>
                <w:color w:val="404040"/>
                <w:sz w:val="22"/>
              </w:rPr>
              <w:t>There is a risk that the price of that overseas currency will move in such a way that devalues that currency relative to Sterling, thus negatively impacting the overall investment return.</w:t>
            </w:r>
          </w:p>
        </w:tc>
        <w:tc>
          <w:tcPr>
            <w:tcW w:w="2843" w:type="dxa"/>
            <w:gridSpan w:val="2"/>
            <w:vMerge/>
          </w:tcPr>
          <w:p w14:paraId="5F0BD33F" w14:textId="77777777" w:rsidR="003F7EA0" w:rsidRPr="0074501C" w:rsidRDefault="003F7EA0" w:rsidP="0074501C">
            <w:pPr>
              <w:pStyle w:val="ListBullet"/>
              <w:spacing w:before="0" w:after="240"/>
              <w:ind w:left="169"/>
              <w:rPr>
                <w:rFonts w:ascii="Calibri" w:eastAsia="Calibri" w:hAnsi="Calibri"/>
                <w:color w:val="404040"/>
                <w:sz w:val="22"/>
              </w:rPr>
            </w:pPr>
          </w:p>
        </w:tc>
      </w:tr>
      <w:tr w:rsidR="003F7EA0" w:rsidRPr="006970DB" w14:paraId="4F9F04AE" w14:textId="77777777" w:rsidTr="00902EB7">
        <w:trPr>
          <w:trHeight w:val="1268"/>
        </w:trPr>
        <w:tc>
          <w:tcPr>
            <w:tcW w:w="826" w:type="dxa"/>
            <w:vMerge/>
          </w:tcPr>
          <w:p w14:paraId="0ABA4DD2" w14:textId="77777777" w:rsidR="003F7EA0" w:rsidRPr="0074501C" w:rsidRDefault="003F7EA0" w:rsidP="0074501C">
            <w:pPr>
              <w:pStyle w:val="BodyText"/>
              <w:spacing w:before="0" w:after="240"/>
              <w:rPr>
                <w:rFonts w:ascii="Calibri" w:hAnsi="Calibri" w:cs="Calibri"/>
                <w:sz w:val="22"/>
              </w:rPr>
            </w:pPr>
          </w:p>
        </w:tc>
        <w:tc>
          <w:tcPr>
            <w:tcW w:w="1319" w:type="dxa"/>
            <w:gridSpan w:val="2"/>
          </w:tcPr>
          <w:p w14:paraId="28483207" w14:textId="77777777" w:rsidR="003F7EA0" w:rsidRPr="0074501C" w:rsidRDefault="003F7EA0" w:rsidP="0074501C">
            <w:pPr>
              <w:pStyle w:val="Heading3"/>
              <w:spacing w:before="0" w:after="240"/>
              <w:rPr>
                <w:rFonts w:ascii="Calibri" w:hAnsi="Calibri" w:cs="Calibri"/>
                <w:b/>
              </w:rPr>
            </w:pPr>
            <w:bookmarkStart w:id="65" w:name="_Toc49344772"/>
            <w:bookmarkStart w:id="66" w:name="_Toc146806591"/>
            <w:r w:rsidRPr="0074501C">
              <w:rPr>
                <w:rFonts w:ascii="Calibri" w:hAnsi="Calibri" w:cs="Calibri"/>
                <w:b/>
              </w:rPr>
              <w:t>Credit Risk</w:t>
            </w:r>
            <w:bookmarkEnd w:id="65"/>
            <w:bookmarkEnd w:id="66"/>
          </w:p>
          <w:p w14:paraId="74B40DFB" w14:textId="77777777" w:rsidR="003F7EA0" w:rsidRPr="0074501C" w:rsidRDefault="003F7EA0" w:rsidP="0074501C">
            <w:pPr>
              <w:pStyle w:val="BodyText"/>
              <w:spacing w:before="0" w:after="240"/>
              <w:rPr>
                <w:rFonts w:ascii="Calibri" w:hAnsi="Calibri" w:cs="Calibri"/>
                <w:sz w:val="22"/>
              </w:rPr>
            </w:pPr>
          </w:p>
        </w:tc>
        <w:tc>
          <w:tcPr>
            <w:tcW w:w="2797" w:type="dxa"/>
          </w:tcPr>
          <w:p w14:paraId="3A89556A" w14:textId="77777777" w:rsidR="003F7EA0" w:rsidRDefault="003F7EA0" w:rsidP="0074501C">
            <w:pPr>
              <w:pStyle w:val="ListBullet"/>
              <w:numPr>
                <w:ilvl w:val="0"/>
                <w:numId w:val="0"/>
              </w:numPr>
              <w:tabs>
                <w:tab w:val="left" w:pos="165"/>
              </w:tabs>
              <w:spacing w:before="0" w:after="240"/>
              <w:ind w:left="33"/>
              <w:rPr>
                <w:rFonts w:ascii="Calibri" w:eastAsia="Calibri" w:hAnsi="Calibri"/>
                <w:color w:val="404040"/>
                <w:sz w:val="22"/>
              </w:rPr>
            </w:pPr>
            <w:r w:rsidRPr="0074501C">
              <w:rPr>
                <w:rFonts w:ascii="Calibri" w:eastAsia="Calibri" w:hAnsi="Calibri"/>
                <w:color w:val="404040"/>
                <w:sz w:val="22"/>
              </w:rPr>
              <w:t>This is the risk that one party to a financial instrument will cause a financial loss for the other party by failing to discharge an obligation.</w:t>
            </w:r>
          </w:p>
          <w:p w14:paraId="419E8778" w14:textId="77777777" w:rsidR="00615129" w:rsidRPr="0074501C" w:rsidRDefault="00615129" w:rsidP="00615129">
            <w:pPr>
              <w:pStyle w:val="ListBullet"/>
              <w:numPr>
                <w:ilvl w:val="0"/>
                <w:numId w:val="0"/>
              </w:numPr>
              <w:tabs>
                <w:tab w:val="left" w:pos="165"/>
              </w:tabs>
              <w:spacing w:before="0" w:after="240"/>
              <w:rPr>
                <w:rFonts w:ascii="Calibri" w:eastAsia="Calibri" w:hAnsi="Calibri"/>
                <w:color w:val="404040"/>
                <w:sz w:val="22"/>
              </w:rPr>
            </w:pPr>
          </w:p>
        </w:tc>
        <w:tc>
          <w:tcPr>
            <w:tcW w:w="2843" w:type="dxa"/>
            <w:gridSpan w:val="2"/>
            <w:vMerge/>
          </w:tcPr>
          <w:p w14:paraId="79BFD6C4" w14:textId="77777777" w:rsidR="003F7EA0" w:rsidRPr="0074501C" w:rsidRDefault="003F7EA0" w:rsidP="0074501C">
            <w:pPr>
              <w:pStyle w:val="ListBullet"/>
              <w:spacing w:before="0" w:after="240"/>
              <w:ind w:left="169"/>
              <w:rPr>
                <w:rFonts w:ascii="Calibri" w:eastAsia="Calibri" w:hAnsi="Calibri"/>
                <w:color w:val="404040"/>
                <w:sz w:val="22"/>
              </w:rPr>
            </w:pPr>
          </w:p>
        </w:tc>
      </w:tr>
      <w:tr w:rsidR="003F7EA0" w:rsidRPr="006970DB" w14:paraId="6D7D5A3F" w14:textId="77777777" w:rsidTr="00902EB7">
        <w:trPr>
          <w:trHeight w:val="1556"/>
        </w:trPr>
        <w:tc>
          <w:tcPr>
            <w:tcW w:w="826" w:type="dxa"/>
            <w:vMerge/>
          </w:tcPr>
          <w:p w14:paraId="22835B35" w14:textId="77777777" w:rsidR="003F7EA0" w:rsidRPr="0074501C" w:rsidRDefault="003F7EA0" w:rsidP="0074501C">
            <w:pPr>
              <w:pStyle w:val="BodyText"/>
              <w:spacing w:before="0" w:after="240"/>
              <w:rPr>
                <w:rFonts w:ascii="Calibri" w:hAnsi="Calibri" w:cs="Calibri"/>
                <w:sz w:val="22"/>
              </w:rPr>
            </w:pPr>
          </w:p>
        </w:tc>
        <w:tc>
          <w:tcPr>
            <w:tcW w:w="1319" w:type="dxa"/>
            <w:gridSpan w:val="2"/>
          </w:tcPr>
          <w:p w14:paraId="244ECB7C" w14:textId="77777777" w:rsidR="003F7EA0" w:rsidRPr="0074501C" w:rsidRDefault="003F7EA0" w:rsidP="0074501C">
            <w:pPr>
              <w:pStyle w:val="Heading3"/>
              <w:spacing w:before="0" w:after="240"/>
              <w:rPr>
                <w:rFonts w:ascii="Calibri" w:hAnsi="Calibri" w:cs="Calibri"/>
                <w:b/>
              </w:rPr>
            </w:pPr>
            <w:bookmarkStart w:id="67" w:name="_Toc49344773"/>
            <w:bookmarkStart w:id="68" w:name="_Toc146806592"/>
            <w:r w:rsidRPr="0074501C">
              <w:rPr>
                <w:rFonts w:ascii="Calibri" w:hAnsi="Calibri" w:cs="Calibri"/>
                <w:b/>
              </w:rPr>
              <w:t>Other Price Risk</w:t>
            </w:r>
            <w:bookmarkEnd w:id="67"/>
            <w:bookmarkEnd w:id="68"/>
            <w:r w:rsidRPr="0074501C">
              <w:rPr>
                <w:rFonts w:ascii="Calibri" w:hAnsi="Calibri" w:cs="Calibri"/>
                <w:b/>
              </w:rPr>
              <w:t xml:space="preserve"> </w:t>
            </w:r>
          </w:p>
          <w:p w14:paraId="7DE1159B" w14:textId="77777777" w:rsidR="003F7EA0" w:rsidRPr="0074501C" w:rsidRDefault="003F7EA0" w:rsidP="0074501C">
            <w:pPr>
              <w:pStyle w:val="BodyText"/>
              <w:spacing w:before="0" w:after="240"/>
              <w:rPr>
                <w:rFonts w:ascii="Calibri" w:hAnsi="Calibri" w:cs="Calibri"/>
                <w:sz w:val="22"/>
              </w:rPr>
            </w:pPr>
          </w:p>
        </w:tc>
        <w:tc>
          <w:tcPr>
            <w:tcW w:w="2797" w:type="dxa"/>
          </w:tcPr>
          <w:p w14:paraId="3F06D90A" w14:textId="77777777" w:rsidR="003F7EA0" w:rsidRDefault="003F7EA0" w:rsidP="0074501C">
            <w:pPr>
              <w:pStyle w:val="ListBullet"/>
              <w:numPr>
                <w:ilvl w:val="0"/>
                <w:numId w:val="0"/>
              </w:numPr>
              <w:tabs>
                <w:tab w:val="left" w:pos="-20"/>
              </w:tabs>
              <w:spacing w:before="0" w:after="240"/>
              <w:ind w:hanging="20"/>
              <w:jc w:val="both"/>
              <w:rPr>
                <w:rFonts w:ascii="Calibri" w:eastAsia="Calibri" w:hAnsi="Calibri"/>
                <w:color w:val="404040"/>
                <w:sz w:val="22"/>
              </w:rPr>
            </w:pPr>
            <w:r w:rsidRPr="0074501C">
              <w:rPr>
                <w:rFonts w:ascii="Calibri" w:eastAsia="Calibri" w:hAnsi="Calibri"/>
                <w:color w:val="404040"/>
                <w:sz w:val="22"/>
              </w:rPr>
              <w:t xml:space="preserve">This is the risk that principally arises in relation to the return seeking portfolio, which invests in equities, equities in pooled funds, equity futures, hedge funds, private equity and property. </w:t>
            </w:r>
          </w:p>
          <w:p w14:paraId="04C126AF" w14:textId="77777777" w:rsidR="00615129" w:rsidRPr="0074501C" w:rsidRDefault="00615129" w:rsidP="0074501C">
            <w:pPr>
              <w:pStyle w:val="ListBullet"/>
              <w:numPr>
                <w:ilvl w:val="0"/>
                <w:numId w:val="0"/>
              </w:numPr>
              <w:tabs>
                <w:tab w:val="left" w:pos="-20"/>
              </w:tabs>
              <w:spacing w:before="0" w:after="240"/>
              <w:ind w:hanging="20"/>
              <w:jc w:val="both"/>
              <w:rPr>
                <w:rFonts w:ascii="Calibri" w:eastAsia="Calibri" w:hAnsi="Calibri"/>
                <w:color w:val="404040"/>
                <w:sz w:val="22"/>
              </w:rPr>
            </w:pPr>
          </w:p>
        </w:tc>
        <w:tc>
          <w:tcPr>
            <w:tcW w:w="2843" w:type="dxa"/>
            <w:gridSpan w:val="2"/>
            <w:vMerge/>
          </w:tcPr>
          <w:p w14:paraId="00F5B715" w14:textId="77777777" w:rsidR="003F7EA0" w:rsidRPr="0074501C" w:rsidRDefault="003F7EA0" w:rsidP="0074501C">
            <w:pPr>
              <w:pStyle w:val="ListBullet"/>
              <w:numPr>
                <w:ilvl w:val="0"/>
                <w:numId w:val="0"/>
              </w:numPr>
              <w:spacing w:before="0" w:after="240"/>
              <w:ind w:left="169"/>
              <w:rPr>
                <w:rFonts w:ascii="Calibri" w:eastAsia="Calibri" w:hAnsi="Calibri"/>
                <w:color w:val="404040"/>
                <w:sz w:val="22"/>
              </w:rPr>
            </w:pPr>
          </w:p>
        </w:tc>
      </w:tr>
      <w:tr w:rsidR="003F7EA0" w:rsidRPr="006970DB" w14:paraId="1B9A5DD3" w14:textId="77777777" w:rsidTr="00902EB7">
        <w:tc>
          <w:tcPr>
            <w:tcW w:w="2145" w:type="dxa"/>
            <w:gridSpan w:val="3"/>
          </w:tcPr>
          <w:p w14:paraId="29F9F610" w14:textId="77777777" w:rsidR="003F7EA0" w:rsidRPr="0074501C" w:rsidRDefault="003F7EA0" w:rsidP="0074501C">
            <w:pPr>
              <w:pStyle w:val="Heading3"/>
              <w:spacing w:before="0" w:after="240"/>
              <w:rPr>
                <w:rFonts w:ascii="Calibri" w:hAnsi="Calibri" w:cs="Calibri"/>
                <w:b/>
              </w:rPr>
            </w:pPr>
            <w:bookmarkStart w:id="69" w:name="_Toc49344776"/>
            <w:bookmarkStart w:id="70" w:name="_Toc146806593"/>
            <w:r w:rsidRPr="0074501C">
              <w:rPr>
                <w:rFonts w:ascii="Calibri" w:hAnsi="Calibri" w:cs="Calibri"/>
                <w:b/>
              </w:rPr>
              <w:t xml:space="preserve">Environmental, Social and </w:t>
            </w:r>
            <w:r w:rsidR="00DB7B3F" w:rsidRPr="0074501C">
              <w:rPr>
                <w:rFonts w:ascii="Calibri" w:hAnsi="Calibri" w:cs="Calibri"/>
                <w:b/>
              </w:rPr>
              <w:t>Governance (</w:t>
            </w:r>
            <w:r w:rsidRPr="0074501C">
              <w:rPr>
                <w:rFonts w:ascii="Calibri" w:hAnsi="Calibri" w:cs="Calibri"/>
                <w:b/>
              </w:rPr>
              <w:t>“ESG”) Risks</w:t>
            </w:r>
            <w:bookmarkEnd w:id="69"/>
            <w:bookmarkEnd w:id="70"/>
          </w:p>
        </w:tc>
        <w:tc>
          <w:tcPr>
            <w:tcW w:w="2797" w:type="dxa"/>
          </w:tcPr>
          <w:p w14:paraId="7561975B" w14:textId="77777777" w:rsidR="003F7EA0" w:rsidRPr="0074501C" w:rsidRDefault="003F7EA0" w:rsidP="0074501C">
            <w:pPr>
              <w:pStyle w:val="BodyText"/>
              <w:tabs>
                <w:tab w:val="left" w:pos="165"/>
              </w:tabs>
              <w:spacing w:after="240"/>
              <w:rPr>
                <w:rFonts w:ascii="Calibri" w:eastAsia="Calibri" w:hAnsi="Calibri"/>
                <w:color w:val="404040"/>
                <w:sz w:val="22"/>
              </w:rPr>
            </w:pPr>
            <w:r w:rsidRPr="0074501C">
              <w:rPr>
                <w:rFonts w:ascii="Calibri" w:eastAsia="Calibri" w:hAnsi="Calibri"/>
                <w:color w:val="404040"/>
                <w:sz w:val="22"/>
              </w:rPr>
              <w:t>This is the risk that ESG concerns, including climate change, have a financially material impact on the return of the Scheme’s assets.</w:t>
            </w:r>
          </w:p>
          <w:p w14:paraId="3BF86C34" w14:textId="77777777" w:rsidR="003F7EA0" w:rsidRPr="0074501C" w:rsidRDefault="003F7EA0" w:rsidP="0074501C">
            <w:pPr>
              <w:pStyle w:val="BodyText"/>
              <w:tabs>
                <w:tab w:val="left" w:pos="165"/>
              </w:tabs>
              <w:spacing w:after="240"/>
              <w:rPr>
                <w:rFonts w:ascii="Calibri" w:eastAsia="Calibri" w:hAnsi="Calibri"/>
                <w:color w:val="404040"/>
                <w:sz w:val="22"/>
              </w:rPr>
            </w:pPr>
            <w:r w:rsidRPr="0074501C">
              <w:rPr>
                <w:rFonts w:ascii="Calibri" w:eastAsia="Calibri" w:hAnsi="Calibri"/>
                <w:color w:val="404040"/>
                <w:sz w:val="22"/>
              </w:rPr>
              <w:t>These risk factors can have a significant effect on the long-term performance of the assets the Scheme holds.</w:t>
            </w:r>
          </w:p>
        </w:tc>
        <w:tc>
          <w:tcPr>
            <w:tcW w:w="2843" w:type="dxa"/>
            <w:gridSpan w:val="2"/>
          </w:tcPr>
          <w:p w14:paraId="445BE154" w14:textId="77777777" w:rsidR="003F7EA0" w:rsidRPr="0074501C" w:rsidRDefault="003F7EA0" w:rsidP="0074501C">
            <w:pPr>
              <w:pStyle w:val="BodyText"/>
              <w:spacing w:after="240"/>
              <w:rPr>
                <w:rFonts w:ascii="Calibri" w:eastAsia="Calibri" w:hAnsi="Calibri"/>
                <w:color w:val="404040"/>
                <w:sz w:val="22"/>
              </w:rPr>
            </w:pPr>
            <w:r w:rsidRPr="0074501C">
              <w:rPr>
                <w:rFonts w:ascii="Calibri" w:eastAsia="Calibri" w:hAnsi="Calibri"/>
                <w:color w:val="404040"/>
                <w:sz w:val="22"/>
              </w:rPr>
              <w:t>Where applicable these factors will be considered in the investment process but is considered the responsibility of the investment manager.</w:t>
            </w:r>
          </w:p>
          <w:p w14:paraId="13E03693" w14:textId="77777777" w:rsidR="003F7EA0" w:rsidRPr="0074501C" w:rsidRDefault="003F7EA0" w:rsidP="0074501C">
            <w:pPr>
              <w:pStyle w:val="BodyText"/>
              <w:spacing w:after="240"/>
              <w:rPr>
                <w:rFonts w:ascii="Calibri" w:eastAsia="Calibri" w:hAnsi="Calibri"/>
                <w:color w:val="404040"/>
                <w:sz w:val="22"/>
              </w:rPr>
            </w:pPr>
            <w:r w:rsidRPr="0074501C">
              <w:rPr>
                <w:rFonts w:ascii="Calibri" w:eastAsia="Calibri" w:hAnsi="Calibri"/>
                <w:color w:val="404040"/>
                <w:sz w:val="22"/>
              </w:rPr>
              <w:t>Please see Section 6 for the Trustees’ responsible investment statement.</w:t>
            </w:r>
          </w:p>
        </w:tc>
      </w:tr>
      <w:tr w:rsidR="003F7EA0" w:rsidRPr="006970DB" w14:paraId="7A5B1069" w14:textId="77777777" w:rsidTr="00902EB7">
        <w:tc>
          <w:tcPr>
            <w:tcW w:w="2145" w:type="dxa"/>
            <w:gridSpan w:val="3"/>
          </w:tcPr>
          <w:p w14:paraId="0C0E38E1" w14:textId="77777777" w:rsidR="003F7EA0" w:rsidRPr="0074501C" w:rsidRDefault="003F7EA0" w:rsidP="0074501C">
            <w:pPr>
              <w:pStyle w:val="Heading3"/>
              <w:spacing w:after="240"/>
              <w:rPr>
                <w:rFonts w:ascii="Calibri" w:hAnsi="Calibri" w:cs="Calibri"/>
                <w:b/>
              </w:rPr>
            </w:pPr>
            <w:bookmarkStart w:id="71" w:name="_Toc49344777"/>
            <w:bookmarkStart w:id="72" w:name="_Toc146806594"/>
            <w:r w:rsidRPr="0074501C">
              <w:rPr>
                <w:rFonts w:ascii="Calibri" w:hAnsi="Calibri" w:cs="Calibri"/>
                <w:b/>
              </w:rPr>
              <w:t>Manager risk</w:t>
            </w:r>
            <w:bookmarkEnd w:id="71"/>
            <w:bookmarkEnd w:id="72"/>
          </w:p>
          <w:p w14:paraId="18A8BF52" w14:textId="77777777" w:rsidR="003F7EA0" w:rsidRPr="0074501C" w:rsidRDefault="003F7EA0" w:rsidP="0074501C">
            <w:pPr>
              <w:pStyle w:val="BodyText"/>
              <w:spacing w:after="240"/>
              <w:rPr>
                <w:rFonts w:ascii="Calibri" w:hAnsi="Calibri" w:cs="Calibri"/>
                <w:sz w:val="22"/>
              </w:rPr>
            </w:pPr>
          </w:p>
        </w:tc>
        <w:tc>
          <w:tcPr>
            <w:tcW w:w="2797" w:type="dxa"/>
          </w:tcPr>
          <w:p w14:paraId="1CC06D61" w14:textId="77777777" w:rsidR="003F7EA0" w:rsidRPr="0074501C" w:rsidRDefault="003F7EA0" w:rsidP="0074501C">
            <w:pPr>
              <w:pStyle w:val="ListBullet"/>
              <w:numPr>
                <w:ilvl w:val="0"/>
                <w:numId w:val="0"/>
              </w:numPr>
              <w:spacing w:after="240"/>
              <w:rPr>
                <w:rFonts w:ascii="Calibri" w:eastAsia="Calibri" w:hAnsi="Calibri"/>
                <w:color w:val="404040"/>
                <w:sz w:val="22"/>
              </w:rPr>
            </w:pPr>
            <w:r w:rsidRPr="0074501C">
              <w:rPr>
                <w:rFonts w:ascii="Calibri" w:eastAsia="Calibri" w:hAnsi="Calibri"/>
                <w:color w:val="404040"/>
                <w:sz w:val="22"/>
              </w:rPr>
              <w:t>This is assessed as the expected deviation of the prospective risk and return, as set out in the managers’ objectives, relative to the investment policy.</w:t>
            </w:r>
          </w:p>
          <w:p w14:paraId="1D30EBBF" w14:textId="77777777" w:rsidR="003F7EA0" w:rsidRPr="0074501C" w:rsidRDefault="003F7EA0" w:rsidP="0074501C">
            <w:pPr>
              <w:pStyle w:val="BodyText"/>
              <w:spacing w:after="240"/>
              <w:rPr>
                <w:rFonts w:ascii="Calibri" w:eastAsia="Calibri" w:hAnsi="Calibri"/>
                <w:color w:val="404040"/>
                <w:sz w:val="22"/>
              </w:rPr>
            </w:pPr>
          </w:p>
        </w:tc>
        <w:tc>
          <w:tcPr>
            <w:tcW w:w="2843" w:type="dxa"/>
            <w:gridSpan w:val="2"/>
          </w:tcPr>
          <w:p w14:paraId="78D0B921" w14:textId="77777777" w:rsidR="003F7EA0" w:rsidRPr="0074501C" w:rsidRDefault="003F7EA0" w:rsidP="00361515">
            <w:pPr>
              <w:pStyle w:val="ListBullet"/>
              <w:numPr>
                <w:ilvl w:val="0"/>
                <w:numId w:val="0"/>
              </w:numPr>
              <w:spacing w:after="240"/>
              <w:rPr>
                <w:rFonts w:ascii="Calibri" w:eastAsia="Calibri" w:hAnsi="Calibri"/>
                <w:color w:val="404040"/>
                <w:sz w:val="22"/>
              </w:rPr>
            </w:pPr>
            <w:r w:rsidRPr="0074501C">
              <w:rPr>
                <w:rFonts w:ascii="Calibri" w:eastAsia="Calibri" w:hAnsi="Calibri"/>
                <w:color w:val="404040"/>
                <w:sz w:val="22"/>
              </w:rPr>
              <w:t xml:space="preserve">It is measured by monitoring the actual deviation of returns relative to the objective and factors supporting the managers’ investment process through the quarterly performance updates provided by </w:t>
            </w:r>
            <w:r w:rsidR="00361515">
              <w:rPr>
                <w:rFonts w:ascii="Calibri" w:eastAsia="Calibri" w:hAnsi="Calibri"/>
                <w:color w:val="404040"/>
                <w:sz w:val="22"/>
              </w:rPr>
              <w:t xml:space="preserve">Mercer. In addition, Mercer </w:t>
            </w:r>
            <w:r w:rsidRPr="0074501C">
              <w:rPr>
                <w:rFonts w:ascii="Calibri" w:eastAsia="Calibri" w:hAnsi="Calibri"/>
                <w:color w:val="404040"/>
                <w:sz w:val="22"/>
              </w:rPr>
              <w:t>monitor a</w:t>
            </w:r>
            <w:r w:rsidR="00361515">
              <w:rPr>
                <w:rFonts w:ascii="Calibri" w:eastAsia="Calibri" w:hAnsi="Calibri"/>
                <w:color w:val="404040"/>
                <w:sz w:val="22"/>
              </w:rPr>
              <w:t xml:space="preserve">nd replace any managers (following discussion with the Trustees and </w:t>
            </w:r>
            <w:r w:rsidRPr="0074501C">
              <w:rPr>
                <w:rFonts w:ascii="Calibri" w:eastAsia="Calibri" w:hAnsi="Calibri"/>
                <w:color w:val="404040"/>
                <w:sz w:val="22"/>
              </w:rPr>
              <w:t>written authorisation from the Trustees) where concerns exist over their continued ability to deliver the investment mandate.</w:t>
            </w:r>
          </w:p>
        </w:tc>
      </w:tr>
      <w:tr w:rsidR="003F7EA0" w:rsidRPr="006970DB" w14:paraId="19F66B23" w14:textId="77777777" w:rsidTr="00902EB7">
        <w:trPr>
          <w:trHeight w:val="2851"/>
        </w:trPr>
        <w:tc>
          <w:tcPr>
            <w:tcW w:w="2145" w:type="dxa"/>
            <w:gridSpan w:val="3"/>
          </w:tcPr>
          <w:p w14:paraId="12917BDE" w14:textId="77777777" w:rsidR="003F7EA0" w:rsidRPr="0074501C" w:rsidRDefault="003F7EA0" w:rsidP="0074501C">
            <w:pPr>
              <w:pStyle w:val="Heading3"/>
              <w:spacing w:after="240"/>
              <w:rPr>
                <w:rFonts w:ascii="Calibri" w:hAnsi="Calibri" w:cs="Calibri"/>
                <w:b/>
              </w:rPr>
            </w:pPr>
            <w:bookmarkStart w:id="73" w:name="_Toc49344778"/>
            <w:bookmarkStart w:id="74" w:name="_Toc146806595"/>
            <w:r w:rsidRPr="0074501C">
              <w:rPr>
                <w:rFonts w:ascii="Calibri" w:hAnsi="Calibri" w:cs="Calibri"/>
                <w:b/>
              </w:rPr>
              <w:t>Liquidity risk</w:t>
            </w:r>
            <w:bookmarkEnd w:id="73"/>
            <w:bookmarkEnd w:id="74"/>
          </w:p>
          <w:p w14:paraId="7249A087" w14:textId="77777777" w:rsidR="003F7EA0" w:rsidRPr="0074501C" w:rsidRDefault="003F7EA0" w:rsidP="0074501C">
            <w:pPr>
              <w:pStyle w:val="BodyText"/>
              <w:spacing w:after="240"/>
              <w:rPr>
                <w:rFonts w:ascii="Calibri" w:hAnsi="Calibri" w:cs="Calibri"/>
                <w:sz w:val="22"/>
              </w:rPr>
            </w:pPr>
          </w:p>
        </w:tc>
        <w:tc>
          <w:tcPr>
            <w:tcW w:w="2797" w:type="dxa"/>
          </w:tcPr>
          <w:p w14:paraId="0DA053AE" w14:textId="77777777" w:rsidR="003F7EA0" w:rsidRPr="0074501C" w:rsidRDefault="003F7EA0" w:rsidP="0074501C">
            <w:pPr>
              <w:pStyle w:val="BodyText"/>
              <w:spacing w:after="240"/>
              <w:rPr>
                <w:rFonts w:ascii="Calibri" w:eastAsia="Calibri" w:hAnsi="Calibri"/>
                <w:color w:val="404040"/>
                <w:sz w:val="22"/>
              </w:rPr>
            </w:pPr>
            <w:r w:rsidRPr="0074501C">
              <w:rPr>
                <w:rFonts w:ascii="Calibri" w:eastAsia="Calibri" w:hAnsi="Calibri"/>
                <w:color w:val="404040"/>
                <w:sz w:val="22"/>
              </w:rPr>
              <w:t>The risk that the Scheme’s assets cannot be realised at short notice in line with member or Trustees’ demand.</w:t>
            </w:r>
          </w:p>
        </w:tc>
        <w:tc>
          <w:tcPr>
            <w:tcW w:w="2843" w:type="dxa"/>
            <w:gridSpan w:val="2"/>
          </w:tcPr>
          <w:p w14:paraId="5AB6FEC5" w14:textId="77777777" w:rsidR="003F7EA0" w:rsidRPr="0074501C" w:rsidRDefault="003F7EA0" w:rsidP="0074501C">
            <w:pPr>
              <w:pStyle w:val="ListBullet"/>
              <w:numPr>
                <w:ilvl w:val="0"/>
                <w:numId w:val="0"/>
              </w:numPr>
              <w:spacing w:after="240"/>
              <w:rPr>
                <w:rFonts w:ascii="Calibri" w:eastAsia="Calibri" w:hAnsi="Calibri"/>
                <w:color w:val="404040"/>
                <w:sz w:val="22"/>
              </w:rPr>
            </w:pPr>
            <w:r w:rsidRPr="0074501C">
              <w:rPr>
                <w:rFonts w:ascii="Calibri" w:eastAsia="Calibri" w:hAnsi="Calibri"/>
                <w:color w:val="404040"/>
                <w:sz w:val="22"/>
              </w:rPr>
              <w:t>As far as is practicable and necessary, the Trustees invest in liquid assets that can be quickly realised as required.</w:t>
            </w:r>
          </w:p>
          <w:p w14:paraId="3958AD20" w14:textId="77777777" w:rsidR="003F7EA0" w:rsidRPr="0074501C" w:rsidRDefault="003F7EA0" w:rsidP="0074501C">
            <w:pPr>
              <w:pStyle w:val="ListBullet"/>
              <w:numPr>
                <w:ilvl w:val="0"/>
                <w:numId w:val="0"/>
              </w:numPr>
              <w:spacing w:after="240"/>
              <w:rPr>
                <w:rFonts w:ascii="Calibri" w:eastAsia="Calibri" w:hAnsi="Calibri"/>
                <w:color w:val="404040"/>
                <w:sz w:val="22"/>
              </w:rPr>
            </w:pPr>
            <w:r w:rsidRPr="0074501C">
              <w:rPr>
                <w:rFonts w:ascii="Calibri" w:eastAsia="Calibri" w:hAnsi="Calibri"/>
                <w:color w:val="404040"/>
                <w:sz w:val="22"/>
              </w:rPr>
              <w:t xml:space="preserve">It is managed by investing only in readily realisable pooled funds that can be bought and sold </w:t>
            </w:r>
            <w:proofErr w:type="gramStart"/>
            <w:r w:rsidRPr="0074501C">
              <w:rPr>
                <w:rFonts w:ascii="Calibri" w:eastAsia="Calibri" w:hAnsi="Calibri"/>
                <w:color w:val="404040"/>
                <w:sz w:val="22"/>
              </w:rPr>
              <w:t>on a daily basis</w:t>
            </w:r>
            <w:proofErr w:type="gramEnd"/>
            <w:r w:rsidRPr="0074501C">
              <w:rPr>
                <w:rFonts w:ascii="Calibri" w:eastAsia="Calibri" w:hAnsi="Calibri"/>
                <w:color w:val="404040"/>
                <w:sz w:val="22"/>
              </w:rPr>
              <w:t>.</w:t>
            </w:r>
          </w:p>
        </w:tc>
      </w:tr>
      <w:tr w:rsidR="003F7EA0" w:rsidRPr="006970DB" w14:paraId="03BA61A7" w14:textId="77777777" w:rsidTr="00902EB7">
        <w:trPr>
          <w:trHeight w:val="1615"/>
        </w:trPr>
        <w:tc>
          <w:tcPr>
            <w:tcW w:w="2145" w:type="dxa"/>
            <w:gridSpan w:val="3"/>
            <w:tcBorders>
              <w:bottom w:val="single" w:sz="4" w:space="0" w:color="auto"/>
            </w:tcBorders>
          </w:tcPr>
          <w:p w14:paraId="1D78CE45" w14:textId="77777777" w:rsidR="003F7EA0" w:rsidRPr="0074501C" w:rsidRDefault="003F7EA0" w:rsidP="0074501C">
            <w:pPr>
              <w:pStyle w:val="Heading3"/>
              <w:spacing w:after="240"/>
              <w:rPr>
                <w:rFonts w:ascii="Calibri" w:hAnsi="Calibri" w:cs="Calibri"/>
              </w:rPr>
            </w:pPr>
            <w:bookmarkStart w:id="75" w:name="_Toc49344779"/>
            <w:bookmarkStart w:id="76" w:name="_Toc146806596"/>
            <w:r w:rsidRPr="0074501C">
              <w:rPr>
                <w:rFonts w:ascii="Calibri" w:hAnsi="Calibri" w:cs="Calibri"/>
                <w:b/>
              </w:rPr>
              <w:t>Legislative Risk</w:t>
            </w:r>
            <w:bookmarkEnd w:id="75"/>
            <w:bookmarkEnd w:id="76"/>
          </w:p>
        </w:tc>
        <w:tc>
          <w:tcPr>
            <w:tcW w:w="2797" w:type="dxa"/>
            <w:tcBorders>
              <w:bottom w:val="single" w:sz="4" w:space="0" w:color="auto"/>
            </w:tcBorders>
          </w:tcPr>
          <w:p w14:paraId="3E8DFB84" w14:textId="77777777" w:rsidR="003F7EA0" w:rsidRPr="0074501C" w:rsidRDefault="003F7EA0" w:rsidP="0074501C">
            <w:pPr>
              <w:pStyle w:val="BodyText"/>
              <w:spacing w:after="240"/>
              <w:rPr>
                <w:rFonts w:ascii="Calibri" w:eastAsia="Calibri" w:hAnsi="Calibri"/>
                <w:color w:val="404040"/>
                <w:sz w:val="22"/>
              </w:rPr>
            </w:pPr>
            <w:r w:rsidRPr="0074501C">
              <w:rPr>
                <w:rFonts w:ascii="Calibri" w:eastAsia="Calibri" w:hAnsi="Calibri"/>
                <w:color w:val="404040"/>
                <w:sz w:val="22"/>
              </w:rPr>
              <w:t xml:space="preserve">This is the risk that legislative changes will require action from the Trustees </w:t>
            </w:r>
            <w:proofErr w:type="gramStart"/>
            <w:r w:rsidRPr="0074501C">
              <w:rPr>
                <w:rFonts w:ascii="Calibri" w:eastAsia="Calibri" w:hAnsi="Calibri"/>
                <w:color w:val="404040"/>
                <w:sz w:val="22"/>
              </w:rPr>
              <w:t>so as to</w:t>
            </w:r>
            <w:proofErr w:type="gramEnd"/>
            <w:r w:rsidRPr="0074501C">
              <w:rPr>
                <w:rFonts w:ascii="Calibri" w:eastAsia="Calibri" w:hAnsi="Calibri"/>
                <w:color w:val="404040"/>
                <w:sz w:val="22"/>
              </w:rPr>
              <w:t xml:space="preserve"> comply with any such changes in legislation.</w:t>
            </w:r>
          </w:p>
        </w:tc>
        <w:tc>
          <w:tcPr>
            <w:tcW w:w="2843" w:type="dxa"/>
            <w:gridSpan w:val="2"/>
            <w:tcBorders>
              <w:bottom w:val="single" w:sz="4" w:space="0" w:color="auto"/>
            </w:tcBorders>
          </w:tcPr>
          <w:p w14:paraId="67F6D79C" w14:textId="77777777" w:rsidR="003F7EA0" w:rsidRPr="0074501C" w:rsidRDefault="003F7EA0" w:rsidP="0074501C">
            <w:pPr>
              <w:pStyle w:val="BodyText"/>
              <w:rPr>
                <w:rFonts w:ascii="Calibri" w:eastAsia="Calibri" w:hAnsi="Calibri"/>
                <w:color w:val="404040"/>
                <w:sz w:val="22"/>
              </w:rPr>
            </w:pPr>
            <w:r w:rsidRPr="0074501C">
              <w:rPr>
                <w:rFonts w:ascii="Calibri" w:eastAsia="Calibri" w:hAnsi="Calibri"/>
                <w:color w:val="404040"/>
                <w:sz w:val="22"/>
              </w:rPr>
              <w:t xml:space="preserve">The Trustees acknowledge that this risk is unavoidable but will seek to address any required changes </w:t>
            </w:r>
            <w:proofErr w:type="gramStart"/>
            <w:r w:rsidRPr="0074501C">
              <w:rPr>
                <w:rFonts w:ascii="Calibri" w:eastAsia="Calibri" w:hAnsi="Calibri"/>
                <w:color w:val="404040"/>
                <w:sz w:val="22"/>
              </w:rPr>
              <w:t>so as to</w:t>
            </w:r>
            <w:proofErr w:type="gramEnd"/>
            <w:r w:rsidRPr="0074501C">
              <w:rPr>
                <w:rFonts w:ascii="Calibri" w:eastAsia="Calibri" w:hAnsi="Calibri"/>
                <w:color w:val="404040"/>
                <w:sz w:val="22"/>
              </w:rPr>
              <w:t xml:space="preserve"> comply with changes in legislation.  </w:t>
            </w:r>
          </w:p>
        </w:tc>
      </w:tr>
      <w:tr w:rsidR="00DB7B3F" w14:paraId="5EA4C88B" w14:textId="77777777" w:rsidTr="002D45A1">
        <w:trPr>
          <w:trHeight w:val="425"/>
        </w:trPr>
        <w:tc>
          <w:tcPr>
            <w:tcW w:w="7785" w:type="dxa"/>
            <w:gridSpan w:val="6"/>
            <w:tcBorders>
              <w:top w:val="single" w:sz="4" w:space="0" w:color="auto"/>
            </w:tcBorders>
            <w:shd w:val="clear" w:color="auto" w:fill="39A56A"/>
            <w:vAlign w:val="center"/>
          </w:tcPr>
          <w:p w14:paraId="0DF72DCD" w14:textId="3E751491" w:rsidR="00DB7B3F" w:rsidRDefault="001F40CF" w:rsidP="001F40CF">
            <w:pPr>
              <w:pStyle w:val="ListBullet"/>
              <w:numPr>
                <w:ilvl w:val="0"/>
                <w:numId w:val="0"/>
              </w:numPr>
              <w:spacing w:before="0"/>
            </w:pPr>
            <w:r>
              <w:rPr>
                <w:b/>
                <w:color w:val="FFFFFF"/>
                <w:szCs w:val="20"/>
              </w:rPr>
              <w:t>Other</w:t>
            </w:r>
            <w:r w:rsidR="00DB7B3F" w:rsidRPr="0074501C">
              <w:rPr>
                <w:b/>
                <w:color w:val="FFFFFF"/>
                <w:szCs w:val="20"/>
              </w:rPr>
              <w:t xml:space="preserve"> risks</w:t>
            </w:r>
          </w:p>
        </w:tc>
      </w:tr>
      <w:tr w:rsidR="00DB7B3F" w:rsidRPr="006B1E8E" w14:paraId="0E25B35F" w14:textId="77777777" w:rsidTr="002D45A1">
        <w:tc>
          <w:tcPr>
            <w:tcW w:w="2109" w:type="dxa"/>
            <w:gridSpan w:val="2"/>
          </w:tcPr>
          <w:p w14:paraId="72AE69BD" w14:textId="77777777" w:rsidR="00DB7B3F" w:rsidRPr="0074501C" w:rsidRDefault="00DB7B3F" w:rsidP="0074501C">
            <w:pPr>
              <w:pStyle w:val="Heading3"/>
              <w:spacing w:after="240"/>
              <w:rPr>
                <w:b/>
              </w:rPr>
            </w:pPr>
            <w:bookmarkStart w:id="77" w:name="_Toc49344780"/>
            <w:bookmarkStart w:id="78" w:name="_Toc146806597"/>
            <w:r w:rsidRPr="0074501C">
              <w:rPr>
                <w:rFonts w:ascii="Calibri" w:eastAsia="Calibri" w:hAnsi="Calibri"/>
                <w:b/>
                <w:bCs w:val="0"/>
                <w:szCs w:val="20"/>
              </w:rPr>
              <w:t>Sponsor Risk</w:t>
            </w:r>
            <w:bookmarkEnd w:id="77"/>
            <w:bookmarkEnd w:id="78"/>
          </w:p>
        </w:tc>
        <w:tc>
          <w:tcPr>
            <w:tcW w:w="2883" w:type="dxa"/>
            <w:gridSpan w:val="3"/>
          </w:tcPr>
          <w:p w14:paraId="281B716C" w14:textId="77777777" w:rsidR="00DB7B3F" w:rsidRPr="0074501C" w:rsidRDefault="00DB7B3F" w:rsidP="0074501C">
            <w:pPr>
              <w:pStyle w:val="BodyText"/>
              <w:tabs>
                <w:tab w:val="left" w:pos="165"/>
              </w:tabs>
              <w:spacing w:after="240"/>
              <w:rPr>
                <w:rFonts w:ascii="Calibri" w:eastAsia="Calibri" w:hAnsi="Calibri"/>
                <w:color w:val="404040"/>
                <w:sz w:val="22"/>
              </w:rPr>
            </w:pPr>
            <w:r w:rsidRPr="0074501C">
              <w:rPr>
                <w:rFonts w:ascii="Calibri" w:eastAsia="Calibri" w:hAnsi="Calibri"/>
                <w:color w:val="404040"/>
                <w:sz w:val="22"/>
              </w:rPr>
              <w:t>This is assessed as the level of ability and degree of willingness of the sponsor to support the continuation of the Scheme and to make good any current or future deficit.</w:t>
            </w:r>
          </w:p>
          <w:p w14:paraId="3FDAF627" w14:textId="77777777" w:rsidR="00DB7B3F" w:rsidRPr="0074501C" w:rsidRDefault="00DB7B3F" w:rsidP="0074501C">
            <w:pPr>
              <w:pStyle w:val="BodyText"/>
              <w:tabs>
                <w:tab w:val="left" w:pos="165"/>
              </w:tabs>
              <w:spacing w:after="240"/>
              <w:rPr>
                <w:rFonts w:ascii="Calibri" w:eastAsia="Calibri" w:hAnsi="Calibri"/>
                <w:color w:val="404040"/>
                <w:sz w:val="22"/>
              </w:rPr>
            </w:pPr>
          </w:p>
        </w:tc>
        <w:tc>
          <w:tcPr>
            <w:tcW w:w="2793" w:type="dxa"/>
          </w:tcPr>
          <w:p w14:paraId="4C831C03" w14:textId="77777777" w:rsidR="00DB7B3F" w:rsidRDefault="002D45A1" w:rsidP="002D45A1">
            <w:pPr>
              <w:pStyle w:val="ListBullet"/>
              <w:numPr>
                <w:ilvl w:val="0"/>
                <w:numId w:val="0"/>
              </w:numPr>
              <w:tabs>
                <w:tab w:val="left" w:pos="165"/>
              </w:tabs>
              <w:spacing w:after="240"/>
              <w:rPr>
                <w:rFonts w:ascii="Calibri" w:eastAsia="Calibri" w:hAnsi="Calibri"/>
                <w:color w:val="404040"/>
                <w:sz w:val="22"/>
              </w:rPr>
            </w:pPr>
            <w:r>
              <w:rPr>
                <w:rFonts w:ascii="Calibri" w:eastAsia="Calibri" w:hAnsi="Calibri"/>
                <w:color w:val="404040"/>
                <w:sz w:val="22"/>
              </w:rPr>
              <w:t>This risk is typically m</w:t>
            </w:r>
            <w:r w:rsidR="00DB7B3F" w:rsidRPr="0074501C">
              <w:rPr>
                <w:rFonts w:ascii="Calibri" w:eastAsia="Calibri" w:hAnsi="Calibri"/>
                <w:color w:val="404040"/>
                <w:sz w:val="22"/>
              </w:rPr>
              <w:t xml:space="preserve">anaged by assessing the interaction between the Scheme and the sponsor’s business, as measured by </w:t>
            </w:r>
            <w:proofErr w:type="gramStart"/>
            <w:r w:rsidR="00DB7B3F" w:rsidRPr="0074501C">
              <w:rPr>
                <w:rFonts w:ascii="Calibri" w:eastAsia="Calibri" w:hAnsi="Calibri"/>
                <w:color w:val="404040"/>
                <w:sz w:val="22"/>
              </w:rPr>
              <w:t>a number of</w:t>
            </w:r>
            <w:proofErr w:type="gramEnd"/>
            <w:r w:rsidR="00DB7B3F" w:rsidRPr="0074501C">
              <w:rPr>
                <w:rFonts w:ascii="Calibri" w:eastAsia="Calibri" w:hAnsi="Calibri"/>
                <w:color w:val="404040"/>
                <w:sz w:val="22"/>
              </w:rPr>
              <w:t xml:space="preserve"> factors, including the creditworthiness of the sponsor and the size of the pension liability relative to the sponsor.  </w:t>
            </w:r>
          </w:p>
          <w:p w14:paraId="4E221FAB" w14:textId="2CA2C6AF" w:rsidR="002D45A1" w:rsidRPr="0074501C" w:rsidRDefault="002D45A1" w:rsidP="001F40CF">
            <w:pPr>
              <w:pStyle w:val="ListBullet"/>
              <w:numPr>
                <w:ilvl w:val="0"/>
                <w:numId w:val="0"/>
              </w:numPr>
              <w:tabs>
                <w:tab w:val="left" w:pos="165"/>
              </w:tabs>
              <w:spacing w:after="240"/>
              <w:rPr>
                <w:rFonts w:ascii="Calibri" w:eastAsia="Calibri" w:hAnsi="Calibri"/>
                <w:color w:val="404040"/>
                <w:sz w:val="22"/>
              </w:rPr>
            </w:pPr>
            <w:r>
              <w:rPr>
                <w:rFonts w:ascii="Calibri" w:eastAsia="Calibri" w:hAnsi="Calibri"/>
                <w:color w:val="404040"/>
                <w:sz w:val="22"/>
              </w:rPr>
              <w:t>However, due to the buy-in policy held with LGAS the Scheme is not highly dependent on the Sponsoring Employer.</w:t>
            </w:r>
          </w:p>
        </w:tc>
      </w:tr>
      <w:tr w:rsidR="00DB7B3F" w14:paraId="5F2318B9" w14:textId="77777777" w:rsidTr="002D45A1">
        <w:tc>
          <w:tcPr>
            <w:tcW w:w="2109" w:type="dxa"/>
            <w:gridSpan w:val="2"/>
          </w:tcPr>
          <w:p w14:paraId="575F0B97" w14:textId="77777777" w:rsidR="00DB7B3F" w:rsidRPr="0074501C" w:rsidRDefault="00DB7B3F" w:rsidP="0074501C">
            <w:pPr>
              <w:pStyle w:val="Heading3"/>
              <w:spacing w:after="240"/>
              <w:rPr>
                <w:b/>
              </w:rPr>
            </w:pPr>
            <w:bookmarkStart w:id="79" w:name="_Toc49344781"/>
            <w:bookmarkStart w:id="80" w:name="_Toc146806598"/>
            <w:r w:rsidRPr="0074501C">
              <w:rPr>
                <w:rFonts w:ascii="Calibri" w:eastAsia="Calibri" w:hAnsi="Calibri"/>
                <w:b/>
                <w:bCs w:val="0"/>
                <w:szCs w:val="20"/>
              </w:rPr>
              <w:t>Solvency Risk</w:t>
            </w:r>
            <w:bookmarkEnd w:id="79"/>
            <w:bookmarkEnd w:id="80"/>
          </w:p>
        </w:tc>
        <w:tc>
          <w:tcPr>
            <w:tcW w:w="2883" w:type="dxa"/>
            <w:gridSpan w:val="3"/>
          </w:tcPr>
          <w:p w14:paraId="744C9604" w14:textId="77777777" w:rsidR="00DB7B3F" w:rsidRPr="0074501C" w:rsidRDefault="00DB7B3F" w:rsidP="0074501C">
            <w:pPr>
              <w:pStyle w:val="BodyText"/>
              <w:tabs>
                <w:tab w:val="left" w:pos="165"/>
              </w:tabs>
              <w:spacing w:after="240"/>
              <w:rPr>
                <w:rFonts w:ascii="Calibri" w:eastAsia="Calibri" w:hAnsi="Calibri"/>
                <w:color w:val="404040"/>
                <w:sz w:val="22"/>
              </w:rPr>
            </w:pPr>
            <w:r w:rsidRPr="0074501C">
              <w:rPr>
                <w:rFonts w:ascii="Calibri" w:eastAsia="Calibri" w:hAnsi="Calibri"/>
                <w:color w:val="404040"/>
                <w:sz w:val="22"/>
              </w:rPr>
              <w:t xml:space="preserve">The risk that the Scheme will be unable to meet its liabilities in the </w:t>
            </w:r>
            <w:proofErr w:type="gramStart"/>
            <w:r w:rsidRPr="0074501C">
              <w:rPr>
                <w:rFonts w:ascii="Calibri" w:eastAsia="Calibri" w:hAnsi="Calibri"/>
                <w:color w:val="404040"/>
                <w:sz w:val="22"/>
              </w:rPr>
              <w:t>long-run</w:t>
            </w:r>
            <w:proofErr w:type="gramEnd"/>
            <w:r w:rsidRPr="0074501C">
              <w:rPr>
                <w:rFonts w:ascii="Calibri" w:eastAsia="Calibri" w:hAnsi="Calibri"/>
                <w:color w:val="404040"/>
                <w:sz w:val="22"/>
              </w:rPr>
              <w:t>.</w:t>
            </w:r>
          </w:p>
        </w:tc>
        <w:tc>
          <w:tcPr>
            <w:tcW w:w="2793" w:type="dxa"/>
            <w:vAlign w:val="center"/>
          </w:tcPr>
          <w:p w14:paraId="357EDE4E" w14:textId="4D389E9B" w:rsidR="00DB7B3F" w:rsidRPr="0074501C" w:rsidRDefault="00DB7B3F" w:rsidP="002D45A1">
            <w:pPr>
              <w:pStyle w:val="ListBullet"/>
              <w:numPr>
                <w:ilvl w:val="0"/>
                <w:numId w:val="0"/>
              </w:numPr>
              <w:tabs>
                <w:tab w:val="left" w:pos="165"/>
              </w:tabs>
              <w:spacing w:after="240"/>
              <w:rPr>
                <w:rFonts w:ascii="Calibri" w:eastAsia="Calibri" w:hAnsi="Calibri"/>
                <w:color w:val="404040"/>
                <w:sz w:val="22"/>
              </w:rPr>
            </w:pPr>
            <w:r w:rsidRPr="0074501C">
              <w:rPr>
                <w:rFonts w:ascii="Calibri" w:eastAsia="Calibri" w:hAnsi="Calibri"/>
                <w:color w:val="404040"/>
                <w:sz w:val="22"/>
              </w:rPr>
              <w:t xml:space="preserve">The risk is </w:t>
            </w:r>
            <w:r w:rsidR="002D45A1">
              <w:rPr>
                <w:rFonts w:ascii="Calibri" w:eastAsia="Calibri" w:hAnsi="Calibri"/>
                <w:color w:val="404040"/>
                <w:sz w:val="22"/>
              </w:rPr>
              <w:t>mitigated</w:t>
            </w:r>
            <w:r w:rsidRPr="0074501C">
              <w:rPr>
                <w:rFonts w:ascii="Calibri" w:eastAsia="Calibri" w:hAnsi="Calibri"/>
                <w:color w:val="404040"/>
                <w:sz w:val="22"/>
              </w:rPr>
              <w:t xml:space="preserve"> </w:t>
            </w:r>
            <w:r w:rsidR="002D45A1">
              <w:rPr>
                <w:rFonts w:ascii="Calibri" w:eastAsia="Calibri" w:hAnsi="Calibri"/>
                <w:color w:val="404040"/>
                <w:sz w:val="22"/>
              </w:rPr>
              <w:t>the buy-in policy held with LGAS</w:t>
            </w:r>
          </w:p>
        </w:tc>
      </w:tr>
    </w:tbl>
    <w:p w14:paraId="1D0F65C4" w14:textId="77777777" w:rsidR="00902EB7" w:rsidRDefault="00902EB7" w:rsidP="003F7EA0">
      <w:pPr>
        <w:pStyle w:val="BodyText"/>
      </w:pPr>
    </w:p>
    <w:p w14:paraId="412AD453" w14:textId="324C5199" w:rsidR="003F7EA0" w:rsidRDefault="003F7EA0" w:rsidP="003F7EA0">
      <w:r>
        <w:t>Whilst the Trustees identify and manage a large proportion of the risks faced by the Scheme, it is not possible to completely eradica</w:t>
      </w:r>
      <w:r w:rsidR="00902EB7">
        <w:t xml:space="preserve">te </w:t>
      </w:r>
      <w:proofErr w:type="gramStart"/>
      <w:r w:rsidR="00902EB7">
        <w:t>a number of</w:t>
      </w:r>
      <w:proofErr w:type="gramEnd"/>
      <w:r w:rsidR="00902EB7">
        <w:t xml:space="preserve"> the above risks.</w:t>
      </w:r>
    </w:p>
    <w:p w14:paraId="23203B43" w14:textId="77777777" w:rsidR="003F7EA0" w:rsidRPr="006B7260" w:rsidRDefault="003F7EA0" w:rsidP="00055808">
      <w:pPr>
        <w:rPr>
          <w:rFonts w:ascii="Arial" w:eastAsia="MS Gothic" w:hAnsi="Arial"/>
          <w:bCs/>
          <w:color w:val="00864A"/>
        </w:rPr>
      </w:pPr>
      <w:r w:rsidRPr="006B7260">
        <w:rPr>
          <w:rFonts w:ascii="Arial" w:eastAsia="MS Gothic" w:hAnsi="Arial"/>
          <w:bCs/>
          <w:color w:val="00864A"/>
        </w:rPr>
        <w:t>Realisation of Investments</w:t>
      </w:r>
    </w:p>
    <w:p w14:paraId="268E3B47" w14:textId="064CBE68" w:rsidR="003F7EA0" w:rsidRPr="003F7EA0" w:rsidRDefault="003F7EA0" w:rsidP="003F7EA0">
      <w:r>
        <w:t>The funds are</w:t>
      </w:r>
      <w:r w:rsidR="00361515">
        <w:t xml:space="preserve"> weekly dealt </w:t>
      </w:r>
      <w:r>
        <w:t>pooled investment arrangements, with assets mainly invested in regulated markets, and therefore should be realisable at short notice, based on either Trustees’ or member demand. The selection, retention and realisation of investments within the pooled arrangements are the responsibility of the relevant investment manager.</w:t>
      </w:r>
    </w:p>
    <w:p w14:paraId="3984E6A3" w14:textId="77777777" w:rsidR="00DB7B3F" w:rsidRDefault="00615129" w:rsidP="00C46404">
      <w:pPr>
        <w:pStyle w:val="Heading1"/>
        <w:numPr>
          <w:ilvl w:val="0"/>
          <w:numId w:val="28"/>
        </w:numPr>
        <w:spacing w:after="240"/>
        <w:ind w:left="0" w:hanging="437"/>
        <w:rPr>
          <w:rFonts w:hint="eastAsia"/>
        </w:rPr>
      </w:pPr>
      <w:r>
        <w:rPr>
          <w:rFonts w:hint="eastAsia"/>
        </w:rPr>
        <w:br w:type="page"/>
      </w:r>
      <w:bookmarkStart w:id="81" w:name="_Toc146806599"/>
      <w:r w:rsidR="00DB7B3F">
        <w:t>Monitoring of Investment Adviser and Managers</w:t>
      </w:r>
      <w:bookmarkEnd w:id="81"/>
    </w:p>
    <w:p w14:paraId="3A90DEDF" w14:textId="77777777" w:rsidR="00DB7B3F" w:rsidRPr="006B7260" w:rsidRDefault="00DB7B3F" w:rsidP="00DB7B3F">
      <w:pPr>
        <w:rPr>
          <w:rFonts w:ascii="Arial" w:eastAsia="MS Gothic" w:hAnsi="Arial"/>
          <w:bCs/>
          <w:color w:val="00864A"/>
        </w:rPr>
      </w:pPr>
      <w:r w:rsidRPr="006B7260">
        <w:rPr>
          <w:rFonts w:ascii="Arial" w:eastAsia="MS Gothic" w:hAnsi="Arial"/>
          <w:bCs/>
          <w:color w:val="00864A"/>
        </w:rPr>
        <w:t>Investment Adviser</w:t>
      </w:r>
    </w:p>
    <w:p w14:paraId="62C2DAD0" w14:textId="77777777" w:rsidR="00DB7B3F" w:rsidRDefault="00DB7B3F" w:rsidP="00DB7B3F">
      <w:r>
        <w:t xml:space="preserve">The Trustees continually assess and review the performance of </w:t>
      </w:r>
      <w:r w:rsidRPr="00386044">
        <w:t>their Investment Adviser in a</w:t>
      </w:r>
      <w:r>
        <w:t xml:space="preserve"> qualitative way.</w:t>
      </w:r>
    </w:p>
    <w:p w14:paraId="68515A8A" w14:textId="77777777" w:rsidR="00DB7B3F" w:rsidRPr="006B7260" w:rsidRDefault="00DB7B3F" w:rsidP="00DB7B3F">
      <w:pPr>
        <w:rPr>
          <w:rFonts w:ascii="Arial" w:eastAsia="MS Gothic" w:hAnsi="Arial"/>
          <w:bCs/>
          <w:color w:val="00864A"/>
        </w:rPr>
      </w:pPr>
      <w:r w:rsidRPr="006B7260">
        <w:rPr>
          <w:rFonts w:ascii="Arial" w:eastAsia="MS Gothic" w:hAnsi="Arial"/>
          <w:bCs/>
          <w:color w:val="00864A"/>
        </w:rPr>
        <w:t>Investment Managers</w:t>
      </w:r>
    </w:p>
    <w:p w14:paraId="140B5F70" w14:textId="597457A1" w:rsidR="00DB7B3F" w:rsidRDefault="00DB7B3F" w:rsidP="00DB7B3F">
      <w:r w:rsidRPr="00DB7B3F">
        <w:t xml:space="preserve">The Trustees receive quarterly monitoring reports on the performance of the underlying investment managers from </w:t>
      </w:r>
      <w:r>
        <w:t>LGIM</w:t>
      </w:r>
      <w:r w:rsidRPr="00DB7B3F">
        <w:t xml:space="preserve">, which presents performance information over 3 months, 1 year and 3 years.  The reports show the absolute performance and performance against the manager’s stated target performance (over the relevant </w:t>
      </w:r>
      <w:proofErr w:type="gramStart"/>
      <w:r w:rsidRPr="00DB7B3F">
        <w:t>time period</w:t>
      </w:r>
      <w:proofErr w:type="gramEnd"/>
      <w:r w:rsidRPr="00DB7B3F">
        <w:t xml:space="preserve">) </w:t>
      </w:r>
      <w:r w:rsidR="00C741EA">
        <w:t>gross</w:t>
      </w:r>
      <w:r w:rsidRPr="00DB7B3F">
        <w:t xml:space="preserve"> of fees. It also provides returns of market indices so that these can also be used to help inform the assessment of the underlying managers’ performance.   </w:t>
      </w:r>
    </w:p>
    <w:p w14:paraId="13591678" w14:textId="49314A03" w:rsidR="00DB7B3F" w:rsidRDefault="00DB7B3F" w:rsidP="00DB7B3F">
      <w:r>
        <w:t xml:space="preserve">The Trustees, with assistance from Mercer, as Investment Adviser to the Scheme, have the role of replacing the underlying investment managers where appropriate. </w:t>
      </w:r>
      <w:r w:rsidR="00C82FCE">
        <w:t>A</w:t>
      </w:r>
      <w:r>
        <w:t xml:space="preserve"> long-term view </w:t>
      </w:r>
      <w:r w:rsidR="00C82FCE">
        <w:t xml:space="preserve">is adopted </w:t>
      </w:r>
      <w:r>
        <w:t xml:space="preserve">when assessing whether to replace the underlying investment managers, and such decisions would not be made based solely on short-term performance concerns. Instead, changes would be driven by a significant downgrade of the investment manager by Mercer’s Manager Research Team. This in turn would be due to a significant reduction in Mercer’s confidence that the investment manager will be able to perform in line with their fund’s mandate over the long term. </w:t>
      </w:r>
    </w:p>
    <w:p w14:paraId="5BBFB7B5" w14:textId="77777777" w:rsidR="00DB7B3F" w:rsidRPr="00DB7B3F" w:rsidRDefault="00DB7B3F" w:rsidP="00DB7B3F">
      <w:r>
        <w:t xml:space="preserve">The Trustees also monitor the stewardship track record of the Scheme’s underlying investment managers on an annual basis and will </w:t>
      </w:r>
      <w:proofErr w:type="gramStart"/>
      <w:r>
        <w:t>take action</w:t>
      </w:r>
      <w:proofErr w:type="gramEnd"/>
      <w:r>
        <w:t xml:space="preserve"> if this is found inconsistent with appropriate long-term return generation</w:t>
      </w:r>
      <w:r w:rsidR="00361515">
        <w:t>.</w:t>
      </w:r>
    </w:p>
    <w:p w14:paraId="64F78AD8" w14:textId="77777777" w:rsidR="00DB7B3F" w:rsidRPr="006B7260" w:rsidRDefault="00DB7B3F" w:rsidP="00DB7B3F">
      <w:pPr>
        <w:rPr>
          <w:rFonts w:ascii="Arial" w:eastAsia="MS Gothic" w:hAnsi="Arial"/>
          <w:bCs/>
          <w:color w:val="00864A"/>
        </w:rPr>
      </w:pPr>
      <w:r w:rsidRPr="006B7260">
        <w:rPr>
          <w:rFonts w:ascii="Arial" w:eastAsia="MS Gothic" w:hAnsi="Arial"/>
          <w:bCs/>
          <w:color w:val="00864A"/>
        </w:rPr>
        <w:t>Portfolio Turnover Cost</w:t>
      </w:r>
      <w:r w:rsidR="00C82FCE" w:rsidRPr="006B7260">
        <w:rPr>
          <w:rFonts w:ascii="Arial" w:eastAsia="MS Gothic" w:hAnsi="Arial"/>
          <w:bCs/>
          <w:color w:val="00864A"/>
        </w:rPr>
        <w:t>s</w:t>
      </w:r>
    </w:p>
    <w:p w14:paraId="0796767C" w14:textId="77777777" w:rsidR="00C82FCE" w:rsidRPr="00C82FCE" w:rsidRDefault="00C82FCE" w:rsidP="00C82FCE">
      <w:r w:rsidRPr="00C82FCE">
        <w:t xml:space="preserve">Portfolio turnover costs </w:t>
      </w:r>
      <w:proofErr w:type="gramStart"/>
      <w:r w:rsidRPr="00C82FCE">
        <w:t>means</w:t>
      </w:r>
      <w:proofErr w:type="gramEnd"/>
      <w:r w:rsidRPr="00C82FCE">
        <w:t xml:space="preserve"> the costs incurred </w:t>
      </w:r>
      <w:proofErr w:type="gramStart"/>
      <w:r w:rsidRPr="00C82FCE">
        <w:t>as a result of</w:t>
      </w:r>
      <w:proofErr w:type="gramEnd"/>
      <w:r w:rsidRPr="00C82FCE">
        <w:t xml:space="preserve"> the buying, selling, lending or borrowing of investments. </w:t>
      </w:r>
    </w:p>
    <w:p w14:paraId="324C29BF" w14:textId="7B9A2A0E" w:rsidR="00C82FCE" w:rsidRPr="00C82FCE" w:rsidRDefault="004200E5" w:rsidP="00C82FCE">
      <w:r>
        <w:t>T</w:t>
      </w:r>
      <w:r w:rsidR="00C82FCE" w:rsidRPr="00C82FCE">
        <w:t xml:space="preserve">he Trustees do not currently monitor portfolio turnover costs for the funds in which the Scheme is </w:t>
      </w:r>
      <w:proofErr w:type="gramStart"/>
      <w:r w:rsidR="00C82FCE" w:rsidRPr="00C82FCE">
        <w:t>invested,</w:t>
      </w:r>
      <w:r w:rsidR="00C741EA">
        <w:t xml:space="preserve"> and</w:t>
      </w:r>
      <w:proofErr w:type="gramEnd"/>
      <w:r w:rsidR="00C82FCE" w:rsidRPr="00C82FCE">
        <w:t xml:space="preserve"> note that the performance monitoring which it receives is </w:t>
      </w:r>
      <w:r w:rsidR="00C741EA">
        <w:t xml:space="preserve">gross </w:t>
      </w:r>
      <w:r w:rsidR="00C82FCE" w:rsidRPr="00C82FCE">
        <w:t xml:space="preserve">of all charges. </w:t>
      </w:r>
    </w:p>
    <w:p w14:paraId="6DDD8361" w14:textId="77777777" w:rsidR="00C82FCE" w:rsidRPr="00C82FCE" w:rsidRDefault="00C82FCE" w:rsidP="00C82FCE">
      <w:r w:rsidRPr="00C82FCE">
        <w:t>The Trustees are also aware of the requirement to define and monitor targeted portfolio turnover and turnover range.</w:t>
      </w:r>
    </w:p>
    <w:p w14:paraId="660624EF" w14:textId="77777777" w:rsidR="00C82FCE" w:rsidRPr="00C82FCE" w:rsidRDefault="00C82FCE" w:rsidP="00C82FCE">
      <w:r w:rsidRPr="00C82FCE">
        <w:t>Given that the Scheme invests in a range of pooled funds, many of which invest across a wide range of asset classes, the Trustees do not have an overall portfolio turnover target for the Scheme.</w:t>
      </w:r>
    </w:p>
    <w:p w14:paraId="14C3D90A" w14:textId="77777777" w:rsidR="00B1635B" w:rsidRDefault="00C82FCE" w:rsidP="00DB7B3F">
      <w:r w:rsidRPr="00C82FCE">
        <w:t>The Trustees are working with Mercer to determine the most appropriate way to obtain and monitor the information required in relation to the pooled funds in which the Scheme is invested and will include further information about this when next updating the SIP.</w:t>
      </w:r>
    </w:p>
    <w:p w14:paraId="386A23E8" w14:textId="77777777" w:rsidR="00615129" w:rsidRDefault="00615129" w:rsidP="00DB7B3F"/>
    <w:p w14:paraId="5AF05BDD" w14:textId="77777777" w:rsidR="00C46404" w:rsidRPr="00C46404" w:rsidRDefault="00615129" w:rsidP="00C46404">
      <w:pPr>
        <w:pStyle w:val="Heading1"/>
        <w:numPr>
          <w:ilvl w:val="0"/>
          <w:numId w:val="28"/>
        </w:numPr>
        <w:spacing w:after="240"/>
        <w:ind w:left="0" w:hanging="437"/>
        <w:rPr>
          <w:rFonts w:hint="eastAsia"/>
        </w:rPr>
      </w:pPr>
      <w:r>
        <w:rPr>
          <w:rFonts w:hint="eastAsia"/>
        </w:rPr>
        <w:br w:type="page"/>
      </w:r>
      <w:bookmarkStart w:id="82" w:name="_Toc146806600"/>
      <w:r w:rsidR="00C60101" w:rsidRPr="005C5C1B">
        <w:t>Code of Best Practice</w:t>
      </w:r>
      <w:bookmarkEnd w:id="82"/>
    </w:p>
    <w:p w14:paraId="0D417F60" w14:textId="77777777" w:rsidR="00C60101" w:rsidRPr="00C82FCE" w:rsidRDefault="00C60101" w:rsidP="00C60101">
      <w:r w:rsidRPr="00C82FCE">
        <w:t>The Trustees note that in September 2019, the Pensions Regulator released ‘Investment Guidance for Defined Benefit Pension Schemes’.</w:t>
      </w:r>
    </w:p>
    <w:p w14:paraId="24C04F75" w14:textId="77777777" w:rsidR="00C60101" w:rsidRDefault="00C60101" w:rsidP="00C60101">
      <w:r w:rsidRPr="00C82FCE">
        <w:t>The Trustees have received training in relation this guidance and are satisfied that the investment approach adopted by the Scheme is consistent with the guidance so far as it is appropriate to the Scheme’s circumstances. The Trustees meet with their investment adviser on a regular basis, monitoring developments both in relation to the Scheme’s circumstances and in relation to evolving guidance, and will revise the Scheme’s investment approach if considered appropriate.</w:t>
      </w:r>
    </w:p>
    <w:p w14:paraId="522A0AF0" w14:textId="77777777" w:rsidR="00361515" w:rsidRDefault="00361515" w:rsidP="00361515">
      <w:r>
        <w:t>When formulating their investment policy, the Trustees have acted in line with the Code of Practice 13.</w:t>
      </w:r>
    </w:p>
    <w:p w14:paraId="31F278DF" w14:textId="77777777" w:rsidR="00B1635B" w:rsidRDefault="00B1635B" w:rsidP="00B1635B">
      <w:pPr>
        <w:spacing w:after="0" w:line="240" w:lineRule="auto"/>
      </w:pPr>
    </w:p>
    <w:p w14:paraId="3E13DB21" w14:textId="77777777" w:rsidR="00B1635B" w:rsidRDefault="00B1635B" w:rsidP="00B1635B">
      <w:pPr>
        <w:spacing w:after="0" w:line="240" w:lineRule="auto"/>
      </w:pPr>
    </w:p>
    <w:p w14:paraId="1ACA4BD8" w14:textId="77777777" w:rsidR="00B1635B" w:rsidRDefault="00B1635B" w:rsidP="00B1635B">
      <w:pPr>
        <w:spacing w:after="0" w:line="240" w:lineRule="auto"/>
      </w:pPr>
    </w:p>
    <w:p w14:paraId="5DCC628D" w14:textId="77777777" w:rsidR="007640F7" w:rsidRDefault="00B1635B" w:rsidP="00B1635B">
      <w:pPr>
        <w:spacing w:after="0" w:line="240" w:lineRule="auto"/>
      </w:pPr>
      <w:r>
        <w:br w:type="page"/>
      </w:r>
      <w:bookmarkStart w:id="83" w:name="_Toc146806601"/>
      <w:r w:rsidR="007640F7" w:rsidRPr="007640F7">
        <w:rPr>
          <w:rStyle w:val="Heading1Char"/>
        </w:rPr>
        <w:t>Appendix 1</w:t>
      </w:r>
      <w:bookmarkEnd w:id="83"/>
      <w:r w:rsidR="007640F7">
        <w:t>: Third Party Arrangements</w:t>
      </w:r>
    </w:p>
    <w:p w14:paraId="04EDA733" w14:textId="77777777" w:rsidR="007640F7" w:rsidRDefault="004908BC" w:rsidP="007640F7">
      <w:pPr>
        <w:pStyle w:val="Heading2"/>
        <w:spacing w:after="240"/>
      </w:pPr>
      <w:bookmarkStart w:id="84" w:name="_Toc49344786"/>
      <w:bookmarkStart w:id="85" w:name="_Toc146806602"/>
      <w:r>
        <w:t>A</w:t>
      </w:r>
      <w:r w:rsidR="007640F7">
        <w:t>dvisors</w:t>
      </w:r>
      <w:bookmarkEnd w:id="84"/>
      <w:bookmarkEnd w:id="85"/>
    </w:p>
    <w:p w14:paraId="2C33F930" w14:textId="77777777" w:rsidR="007640F7" w:rsidRPr="007640F7" w:rsidRDefault="007640F7" w:rsidP="007640F7">
      <w:r w:rsidRPr="007640F7">
        <w:t xml:space="preserve">The following advisors assist the </w:t>
      </w:r>
      <w:r w:rsidR="00F14CDC">
        <w:t>Trustees</w:t>
      </w:r>
      <w:r w:rsidRPr="007640F7">
        <w:t>:</w:t>
      </w:r>
    </w:p>
    <w:tbl>
      <w:tblPr>
        <w:tblW w:w="0" w:type="auto"/>
        <w:tblCellMar>
          <w:top w:w="142" w:type="dxa"/>
          <w:bottom w:w="142" w:type="dxa"/>
        </w:tblCellMar>
        <w:tblLook w:val="04A0" w:firstRow="1" w:lastRow="0" w:firstColumn="1" w:lastColumn="0" w:noHBand="0" w:noVBand="1"/>
      </w:tblPr>
      <w:tblGrid>
        <w:gridCol w:w="2332"/>
        <w:gridCol w:w="5463"/>
      </w:tblGrid>
      <w:tr w:rsidR="007640F7" w:rsidRPr="00036D51" w14:paraId="3B113C30" w14:textId="77777777" w:rsidTr="00036D51">
        <w:tc>
          <w:tcPr>
            <w:tcW w:w="2376" w:type="dxa"/>
          </w:tcPr>
          <w:p w14:paraId="60EB7FFA" w14:textId="77777777" w:rsidR="007640F7" w:rsidRPr="00036D51" w:rsidRDefault="007640F7" w:rsidP="00036D51">
            <w:pPr>
              <w:spacing w:after="0" w:line="240" w:lineRule="auto"/>
              <w:rPr>
                <w:b/>
              </w:rPr>
            </w:pPr>
            <w:r w:rsidRPr="00036D51">
              <w:rPr>
                <w:b/>
              </w:rPr>
              <w:t>Scheme Actuary</w:t>
            </w:r>
          </w:p>
        </w:tc>
        <w:tc>
          <w:tcPr>
            <w:tcW w:w="5635" w:type="dxa"/>
          </w:tcPr>
          <w:p w14:paraId="459975FB" w14:textId="35A33836" w:rsidR="007640F7" w:rsidRPr="00036D51" w:rsidRDefault="00422D96" w:rsidP="00036D51">
            <w:pPr>
              <w:spacing w:after="0" w:line="240" w:lineRule="auto"/>
            </w:pPr>
            <w:r>
              <w:t>John Brogan</w:t>
            </w:r>
          </w:p>
          <w:p w14:paraId="2B50080F" w14:textId="77777777" w:rsidR="007640F7" w:rsidRPr="00036D51" w:rsidRDefault="00055808" w:rsidP="00036D51">
            <w:pPr>
              <w:spacing w:after="0" w:line="240" w:lineRule="auto"/>
            </w:pPr>
            <w:r>
              <w:t>Mercer</w:t>
            </w:r>
          </w:p>
          <w:p w14:paraId="3851F42D" w14:textId="77777777" w:rsidR="007640F7" w:rsidRPr="00036D51" w:rsidRDefault="002C5B37" w:rsidP="00036D51">
            <w:pPr>
              <w:spacing w:after="0" w:line="240" w:lineRule="auto"/>
            </w:pPr>
            <w:r w:rsidRPr="00055808">
              <w:t>Tower Place West, London EC3R 5BU</w:t>
            </w:r>
          </w:p>
        </w:tc>
      </w:tr>
      <w:tr w:rsidR="007640F7" w:rsidRPr="00036D51" w14:paraId="4D23ED71" w14:textId="77777777" w:rsidTr="00036D51">
        <w:tc>
          <w:tcPr>
            <w:tcW w:w="2376" w:type="dxa"/>
          </w:tcPr>
          <w:p w14:paraId="1F3ECF1D" w14:textId="77777777" w:rsidR="007640F7" w:rsidRPr="00036D51" w:rsidRDefault="007640F7" w:rsidP="00036D51">
            <w:pPr>
              <w:spacing w:after="0" w:line="240" w:lineRule="auto"/>
              <w:rPr>
                <w:b/>
              </w:rPr>
            </w:pPr>
            <w:r w:rsidRPr="00036D51">
              <w:rPr>
                <w:b/>
              </w:rPr>
              <w:t>Auditor</w:t>
            </w:r>
          </w:p>
        </w:tc>
        <w:tc>
          <w:tcPr>
            <w:tcW w:w="5635" w:type="dxa"/>
          </w:tcPr>
          <w:p w14:paraId="479C3E90" w14:textId="77777777" w:rsidR="007640F7" w:rsidRPr="00036D51" w:rsidRDefault="007640F7" w:rsidP="00036D51">
            <w:pPr>
              <w:spacing w:after="0" w:line="240" w:lineRule="auto"/>
            </w:pPr>
            <w:r w:rsidRPr="00036D51">
              <w:t>Gary Purdy</w:t>
            </w:r>
          </w:p>
          <w:p w14:paraId="5018E889" w14:textId="77777777" w:rsidR="007640F7" w:rsidRPr="00036D51" w:rsidRDefault="007640F7" w:rsidP="00036D51">
            <w:pPr>
              <w:spacing w:after="0" w:line="240" w:lineRule="auto"/>
            </w:pPr>
            <w:r w:rsidRPr="00036D51">
              <w:t>RSM</w:t>
            </w:r>
          </w:p>
          <w:p w14:paraId="669DC1E2" w14:textId="77777777" w:rsidR="007640F7" w:rsidRPr="00036D51" w:rsidRDefault="007640F7" w:rsidP="00036D51">
            <w:pPr>
              <w:spacing w:after="0" w:line="240" w:lineRule="auto"/>
            </w:pPr>
            <w:r w:rsidRPr="00036D51">
              <w:t>LLP Hanover House, 18 Mount Ephraim Road, Tunbridge Wells, Kent, TN1 1ED</w:t>
            </w:r>
          </w:p>
        </w:tc>
      </w:tr>
      <w:tr w:rsidR="007640F7" w:rsidRPr="00036D51" w14:paraId="7F568A85" w14:textId="77777777" w:rsidTr="00036D51">
        <w:tc>
          <w:tcPr>
            <w:tcW w:w="2376" w:type="dxa"/>
          </w:tcPr>
          <w:p w14:paraId="7658E8EE" w14:textId="77777777" w:rsidR="007640F7" w:rsidRPr="00036D51" w:rsidRDefault="007640F7" w:rsidP="00036D51">
            <w:pPr>
              <w:spacing w:after="0" w:line="240" w:lineRule="auto"/>
              <w:rPr>
                <w:b/>
              </w:rPr>
            </w:pPr>
            <w:r w:rsidRPr="00036D51">
              <w:rPr>
                <w:b/>
              </w:rPr>
              <w:t>Investment Consultant</w:t>
            </w:r>
          </w:p>
        </w:tc>
        <w:tc>
          <w:tcPr>
            <w:tcW w:w="5635" w:type="dxa"/>
          </w:tcPr>
          <w:p w14:paraId="4BECED58" w14:textId="77777777" w:rsidR="007640F7" w:rsidRPr="00036D51" w:rsidRDefault="007640F7" w:rsidP="00036D51">
            <w:pPr>
              <w:spacing w:after="0" w:line="240" w:lineRule="auto"/>
            </w:pPr>
            <w:r w:rsidRPr="00036D51">
              <w:t>Dorian Whitehead</w:t>
            </w:r>
          </w:p>
          <w:p w14:paraId="5B5A1E9C" w14:textId="77777777" w:rsidR="007640F7" w:rsidRPr="00036D51" w:rsidRDefault="00DB7B3F" w:rsidP="00036D51">
            <w:pPr>
              <w:spacing w:after="0" w:line="240" w:lineRule="auto"/>
            </w:pPr>
            <w:r>
              <w:t>Mercer</w:t>
            </w:r>
            <w:r w:rsidR="007640F7" w:rsidRPr="00036D51">
              <w:t xml:space="preserve"> </w:t>
            </w:r>
          </w:p>
          <w:p w14:paraId="2B55381D" w14:textId="77777777" w:rsidR="007640F7" w:rsidRPr="00036D51" w:rsidRDefault="002C5B37" w:rsidP="00036D51">
            <w:pPr>
              <w:spacing w:after="0" w:line="240" w:lineRule="auto"/>
            </w:pPr>
            <w:r w:rsidRPr="00055808">
              <w:t>Tower Place West, London EC3R 5BU</w:t>
            </w:r>
          </w:p>
        </w:tc>
      </w:tr>
      <w:tr w:rsidR="007640F7" w:rsidRPr="00036D51" w14:paraId="70E995CF" w14:textId="77777777" w:rsidTr="00036D51">
        <w:tc>
          <w:tcPr>
            <w:tcW w:w="2376" w:type="dxa"/>
          </w:tcPr>
          <w:p w14:paraId="360D164A" w14:textId="77777777" w:rsidR="007640F7" w:rsidRPr="00036D51" w:rsidRDefault="007640F7" w:rsidP="00036D51">
            <w:pPr>
              <w:spacing w:after="0" w:line="240" w:lineRule="auto"/>
              <w:rPr>
                <w:b/>
              </w:rPr>
            </w:pPr>
            <w:r w:rsidRPr="00036D51">
              <w:rPr>
                <w:b/>
              </w:rPr>
              <w:t>Lawyer</w:t>
            </w:r>
          </w:p>
        </w:tc>
        <w:tc>
          <w:tcPr>
            <w:tcW w:w="5635" w:type="dxa"/>
          </w:tcPr>
          <w:p w14:paraId="2F1CE608" w14:textId="77777777" w:rsidR="007640F7" w:rsidRPr="00036D51" w:rsidRDefault="007640F7" w:rsidP="00036D51">
            <w:pPr>
              <w:spacing w:after="0" w:line="240" w:lineRule="auto"/>
            </w:pPr>
            <w:r w:rsidRPr="00036D51">
              <w:t>Hogan Lovells</w:t>
            </w:r>
          </w:p>
          <w:p w14:paraId="02B18FE2" w14:textId="77777777" w:rsidR="007640F7" w:rsidRPr="00036D51" w:rsidRDefault="007640F7" w:rsidP="00036D51">
            <w:pPr>
              <w:spacing w:after="0" w:line="240" w:lineRule="auto"/>
            </w:pPr>
            <w:r w:rsidRPr="00036D51">
              <w:t>Atlantic House, Holborn Viaduct, London, EC1A 2 FG</w:t>
            </w:r>
          </w:p>
        </w:tc>
      </w:tr>
      <w:tr w:rsidR="007640F7" w:rsidRPr="00036D51" w14:paraId="4D64FBE0" w14:textId="77777777" w:rsidTr="00036D51">
        <w:tc>
          <w:tcPr>
            <w:tcW w:w="2376" w:type="dxa"/>
          </w:tcPr>
          <w:p w14:paraId="4C2515B2" w14:textId="77777777" w:rsidR="007640F7" w:rsidRPr="00036D51" w:rsidRDefault="007640F7" w:rsidP="00036D51">
            <w:pPr>
              <w:spacing w:after="0" w:line="240" w:lineRule="auto"/>
              <w:rPr>
                <w:b/>
              </w:rPr>
            </w:pPr>
            <w:r w:rsidRPr="00036D51">
              <w:rPr>
                <w:b/>
              </w:rPr>
              <w:t>Pensions Consultant</w:t>
            </w:r>
          </w:p>
          <w:p w14:paraId="45BE2302" w14:textId="77777777" w:rsidR="007640F7" w:rsidRPr="00036D51" w:rsidRDefault="007640F7" w:rsidP="00036D51">
            <w:pPr>
              <w:spacing w:after="0" w:line="240" w:lineRule="auto"/>
              <w:rPr>
                <w:b/>
              </w:rPr>
            </w:pPr>
          </w:p>
        </w:tc>
        <w:tc>
          <w:tcPr>
            <w:tcW w:w="5635" w:type="dxa"/>
          </w:tcPr>
          <w:p w14:paraId="2A51D94C" w14:textId="1ABED137" w:rsidR="007640F7" w:rsidRPr="00036D51" w:rsidRDefault="002D45A1" w:rsidP="00036D51">
            <w:pPr>
              <w:spacing w:after="0" w:line="240" w:lineRule="auto"/>
            </w:pPr>
            <w:r>
              <w:t>Kelly Buckland</w:t>
            </w:r>
          </w:p>
          <w:p w14:paraId="2109FCB9" w14:textId="77777777" w:rsidR="007640F7" w:rsidRPr="00036D51" w:rsidRDefault="00055808" w:rsidP="00036D51">
            <w:pPr>
              <w:spacing w:after="0" w:line="240" w:lineRule="auto"/>
            </w:pPr>
            <w:r>
              <w:t>Mercer</w:t>
            </w:r>
          </w:p>
          <w:p w14:paraId="1730FCF5" w14:textId="77777777" w:rsidR="007640F7" w:rsidRPr="00036D51" w:rsidRDefault="002C5B37" w:rsidP="00036D51">
            <w:pPr>
              <w:spacing w:after="0" w:line="240" w:lineRule="auto"/>
            </w:pPr>
            <w:r w:rsidRPr="00055808">
              <w:t>Tower Place West, London EC3R 5BU</w:t>
            </w:r>
          </w:p>
        </w:tc>
      </w:tr>
    </w:tbl>
    <w:p w14:paraId="361F950B" w14:textId="77777777" w:rsidR="007640F7" w:rsidRDefault="007640F7" w:rsidP="00B81D3D">
      <w:pPr>
        <w:pStyle w:val="Heading2"/>
        <w:spacing w:after="240"/>
      </w:pPr>
      <w:bookmarkStart w:id="86" w:name="_Toc49344787"/>
      <w:bookmarkStart w:id="87" w:name="_Toc146806603"/>
      <w:r>
        <w:t>Investment Managers</w:t>
      </w:r>
      <w:bookmarkEnd w:id="86"/>
      <w:bookmarkEnd w:id="87"/>
    </w:p>
    <w:p w14:paraId="74A5AA93" w14:textId="77777777" w:rsidR="007640F7" w:rsidRDefault="007640F7" w:rsidP="007640F7">
      <w:pPr>
        <w:spacing w:line="240" w:lineRule="auto"/>
      </w:pPr>
      <w:r>
        <w:t xml:space="preserve">The </w:t>
      </w:r>
      <w:r w:rsidR="00F14CDC">
        <w:t>Trustees</w:t>
      </w:r>
      <w:r>
        <w:t xml:space="preserve"> have appointed the following investment managers:</w:t>
      </w:r>
    </w:p>
    <w:p w14:paraId="128DB29B" w14:textId="77777777" w:rsidR="007640F7" w:rsidRPr="00055808" w:rsidRDefault="007640F7" w:rsidP="007640F7">
      <w:pPr>
        <w:spacing w:after="0" w:line="240" w:lineRule="auto"/>
        <w:rPr>
          <w:b/>
        </w:rPr>
      </w:pPr>
      <w:r w:rsidRPr="00055808">
        <w:rPr>
          <w:b/>
        </w:rPr>
        <w:t xml:space="preserve">Legal and General Investment Management  </w:t>
      </w:r>
    </w:p>
    <w:p w14:paraId="610998AF" w14:textId="77777777" w:rsidR="007640F7" w:rsidRDefault="007640F7" w:rsidP="007640F7">
      <w:pPr>
        <w:spacing w:after="0" w:line="240" w:lineRule="auto"/>
      </w:pPr>
      <w:r>
        <w:t>One Coleman Street</w:t>
      </w:r>
    </w:p>
    <w:p w14:paraId="48334A24" w14:textId="77777777" w:rsidR="007640F7" w:rsidRDefault="007640F7" w:rsidP="007640F7">
      <w:pPr>
        <w:spacing w:after="0" w:line="240" w:lineRule="auto"/>
      </w:pPr>
      <w:r>
        <w:t>London</w:t>
      </w:r>
    </w:p>
    <w:p w14:paraId="72B01560" w14:textId="77777777" w:rsidR="007640F7" w:rsidRDefault="007640F7" w:rsidP="007640F7">
      <w:pPr>
        <w:spacing w:after="0" w:line="240" w:lineRule="auto"/>
      </w:pPr>
      <w:r>
        <w:t>EC2R 5AA</w:t>
      </w:r>
      <w:r>
        <w:tab/>
        <w:t xml:space="preserve"> </w:t>
      </w:r>
    </w:p>
    <w:p w14:paraId="6830FCF5" w14:textId="77777777" w:rsidR="002924A4" w:rsidRDefault="002924A4" w:rsidP="007640F7">
      <w:pPr>
        <w:spacing w:after="0" w:line="240" w:lineRule="auto"/>
      </w:pPr>
    </w:p>
    <w:p w14:paraId="3A653139" w14:textId="77777777" w:rsidR="00055808" w:rsidRPr="00055808" w:rsidRDefault="00055808" w:rsidP="007640F7">
      <w:pPr>
        <w:spacing w:after="0" w:line="240" w:lineRule="auto"/>
        <w:rPr>
          <w:b/>
        </w:rPr>
      </w:pPr>
    </w:p>
    <w:p w14:paraId="571E38F6" w14:textId="77777777" w:rsidR="002924A4" w:rsidRPr="00055808" w:rsidRDefault="002924A4" w:rsidP="007640F7">
      <w:pPr>
        <w:spacing w:after="0" w:line="240" w:lineRule="auto"/>
        <w:rPr>
          <w:b/>
        </w:rPr>
      </w:pPr>
      <w:r w:rsidRPr="00055808">
        <w:rPr>
          <w:b/>
        </w:rPr>
        <w:t>Columbia Threadneedle</w:t>
      </w:r>
      <w:r w:rsidR="005537C9" w:rsidRPr="00055808">
        <w:rPr>
          <w:b/>
        </w:rPr>
        <w:t xml:space="preserve"> Investments</w:t>
      </w:r>
    </w:p>
    <w:p w14:paraId="3D7C2CBA" w14:textId="77777777" w:rsidR="005537C9" w:rsidRDefault="005537C9" w:rsidP="007640F7">
      <w:pPr>
        <w:spacing w:after="0" w:line="240" w:lineRule="auto"/>
      </w:pPr>
      <w:r>
        <w:t>78 Cannon Street</w:t>
      </w:r>
    </w:p>
    <w:p w14:paraId="5FCCC2F8" w14:textId="77777777" w:rsidR="005537C9" w:rsidRDefault="005537C9" w:rsidP="007640F7">
      <w:pPr>
        <w:spacing w:after="0" w:line="240" w:lineRule="auto"/>
      </w:pPr>
      <w:r>
        <w:t>London</w:t>
      </w:r>
    </w:p>
    <w:p w14:paraId="4D609768" w14:textId="77777777" w:rsidR="005537C9" w:rsidRDefault="005537C9" w:rsidP="007640F7">
      <w:pPr>
        <w:spacing w:after="0" w:line="240" w:lineRule="auto"/>
      </w:pPr>
      <w:r>
        <w:t>EC4N 6AG</w:t>
      </w:r>
    </w:p>
    <w:p w14:paraId="0D9D5F87" w14:textId="77777777" w:rsidR="000D41EB" w:rsidRDefault="000D41EB" w:rsidP="006D0761">
      <w:pPr>
        <w:spacing w:line="240" w:lineRule="auto"/>
      </w:pPr>
    </w:p>
    <w:sectPr w:rsidR="000D41EB" w:rsidSect="006D270D">
      <w:headerReference w:type="default" r:id="rId12"/>
      <w:footerReference w:type="default" r:id="rId13"/>
      <w:headerReference w:type="first" r:id="rId14"/>
      <w:footerReference w:type="first" r:id="rId15"/>
      <w:pgSz w:w="12240" w:h="15840"/>
      <w:pgMar w:top="1440" w:right="1043" w:bottom="1043" w:left="3402" w:header="425" w:footer="7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D3830" w14:textId="77777777" w:rsidR="00572438" w:rsidRDefault="00572438" w:rsidP="006725EE">
      <w:pPr>
        <w:spacing w:after="0" w:line="240" w:lineRule="auto"/>
      </w:pPr>
      <w:r>
        <w:separator/>
      </w:r>
    </w:p>
  </w:endnote>
  <w:endnote w:type="continuationSeparator" w:id="0">
    <w:p w14:paraId="47095299" w14:textId="77777777" w:rsidR="00572438" w:rsidRDefault="00572438" w:rsidP="006725EE">
      <w:pPr>
        <w:spacing w:after="0" w:line="240" w:lineRule="auto"/>
      </w:pPr>
      <w:r>
        <w:continuationSeparator/>
      </w:r>
    </w:p>
  </w:endnote>
  <w:endnote w:type="continuationNotice" w:id="1">
    <w:p w14:paraId="1F6D0C49" w14:textId="77777777" w:rsidR="00572438" w:rsidRDefault="005724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Univers LT Std 55">
    <w:altName w:val="Univers LT Std 55"/>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890F3" w14:textId="77777777" w:rsidR="00905A13" w:rsidRPr="00F94066" w:rsidRDefault="00905A13" w:rsidP="00F94066">
    <w:pPr>
      <w:pStyle w:val="Footer"/>
      <w:ind w:hanging="2268"/>
      <w:jc w:val="right"/>
      <w:rPr>
        <w:rFonts w:ascii="Arial" w:hAnsi="Arial" w:cs="Arial"/>
        <w:sz w:val="18"/>
        <w:szCs w:val="18"/>
      </w:rPr>
    </w:pPr>
  </w:p>
  <w:p w14:paraId="788D9C0E" w14:textId="1195162D" w:rsidR="00905A13" w:rsidRPr="00F94066" w:rsidRDefault="00905A13" w:rsidP="00F94066">
    <w:pPr>
      <w:pStyle w:val="Footer"/>
      <w:pBdr>
        <w:top w:val="single" w:sz="6" w:space="5" w:color="00864A"/>
      </w:pBdr>
      <w:ind w:hanging="2268"/>
      <w:jc w:val="right"/>
      <w:rPr>
        <w:rFonts w:ascii="Arial" w:hAnsi="Arial" w:cs="Arial"/>
        <w:sz w:val="18"/>
        <w:szCs w:val="18"/>
      </w:rPr>
    </w:pPr>
    <w:r>
      <w:rPr>
        <w:noProof/>
        <w:lang w:eastAsia="en-GB"/>
      </w:rPr>
      <w:drawing>
        <wp:anchor distT="0" distB="0" distL="114300" distR="114300" simplePos="0" relativeHeight="251654144" behindDoc="0" locked="0" layoutInCell="1" allowOverlap="1" wp14:anchorId="41DE8441" wp14:editId="3988D0D5">
          <wp:simplePos x="0" y="0"/>
          <wp:positionH relativeFrom="column">
            <wp:posOffset>-1499870</wp:posOffset>
          </wp:positionH>
          <wp:positionV relativeFrom="paragraph">
            <wp:posOffset>95250</wp:posOffset>
          </wp:positionV>
          <wp:extent cx="2160270" cy="309245"/>
          <wp:effectExtent l="0" t="0" r="0" b="0"/>
          <wp:wrapNone/>
          <wp:docPr id="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270" cy="309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4066">
      <w:rPr>
        <w:rFonts w:ascii="Arial" w:hAnsi="Arial" w:cs="Arial"/>
        <w:sz w:val="18"/>
        <w:szCs w:val="18"/>
      </w:rPr>
      <w:t xml:space="preserve">Page </w:t>
    </w:r>
    <w:r w:rsidRPr="00F94066">
      <w:rPr>
        <w:rFonts w:ascii="Arial" w:hAnsi="Arial" w:cs="Arial"/>
        <w:b/>
        <w:bCs/>
        <w:sz w:val="18"/>
        <w:szCs w:val="18"/>
      </w:rPr>
      <w:fldChar w:fldCharType="begin"/>
    </w:r>
    <w:r w:rsidRPr="00F94066">
      <w:rPr>
        <w:rFonts w:ascii="Arial" w:hAnsi="Arial" w:cs="Arial"/>
        <w:b/>
        <w:bCs/>
        <w:sz w:val="18"/>
        <w:szCs w:val="18"/>
      </w:rPr>
      <w:instrText xml:space="preserve"> PAGE </w:instrText>
    </w:r>
    <w:r w:rsidRPr="00F94066">
      <w:rPr>
        <w:rFonts w:ascii="Arial" w:hAnsi="Arial" w:cs="Arial"/>
        <w:b/>
        <w:bCs/>
        <w:sz w:val="18"/>
        <w:szCs w:val="18"/>
      </w:rPr>
      <w:fldChar w:fldCharType="separate"/>
    </w:r>
    <w:r w:rsidR="00D87CB3">
      <w:rPr>
        <w:rFonts w:ascii="Arial" w:hAnsi="Arial" w:cs="Arial"/>
        <w:b/>
        <w:bCs/>
        <w:noProof/>
        <w:sz w:val="18"/>
        <w:szCs w:val="18"/>
      </w:rPr>
      <w:t>3</w:t>
    </w:r>
    <w:r w:rsidRPr="00F94066">
      <w:rPr>
        <w:rFonts w:ascii="Arial" w:hAnsi="Arial" w:cs="Arial"/>
        <w:b/>
        <w:bCs/>
        <w:sz w:val="18"/>
        <w:szCs w:val="18"/>
      </w:rPr>
      <w:fldChar w:fldCharType="end"/>
    </w:r>
    <w:r w:rsidRPr="00F94066">
      <w:rPr>
        <w:rFonts w:ascii="Arial" w:hAnsi="Arial" w:cs="Arial"/>
        <w:sz w:val="18"/>
        <w:szCs w:val="18"/>
      </w:rPr>
      <w:t xml:space="preserve"> of </w:t>
    </w:r>
    <w:r w:rsidRPr="00F94066">
      <w:rPr>
        <w:rFonts w:ascii="Arial" w:hAnsi="Arial" w:cs="Arial"/>
        <w:b/>
        <w:bCs/>
        <w:sz w:val="18"/>
        <w:szCs w:val="18"/>
      </w:rPr>
      <w:fldChar w:fldCharType="begin"/>
    </w:r>
    <w:r w:rsidRPr="00F94066">
      <w:rPr>
        <w:rFonts w:ascii="Arial" w:hAnsi="Arial" w:cs="Arial"/>
        <w:b/>
        <w:bCs/>
        <w:sz w:val="18"/>
        <w:szCs w:val="18"/>
      </w:rPr>
      <w:instrText xml:space="preserve"> NUMPAGES  </w:instrText>
    </w:r>
    <w:r w:rsidRPr="00F94066">
      <w:rPr>
        <w:rFonts w:ascii="Arial" w:hAnsi="Arial" w:cs="Arial"/>
        <w:b/>
        <w:bCs/>
        <w:sz w:val="18"/>
        <w:szCs w:val="18"/>
      </w:rPr>
      <w:fldChar w:fldCharType="separate"/>
    </w:r>
    <w:r w:rsidR="00D87CB3">
      <w:rPr>
        <w:rFonts w:ascii="Arial" w:hAnsi="Arial" w:cs="Arial"/>
        <w:b/>
        <w:bCs/>
        <w:noProof/>
        <w:sz w:val="18"/>
        <w:szCs w:val="18"/>
      </w:rPr>
      <w:t>21</w:t>
    </w:r>
    <w:r w:rsidRPr="00F94066">
      <w:rPr>
        <w:rFonts w:ascii="Arial" w:hAnsi="Arial"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BFC0" w14:textId="77777777" w:rsidR="00905A13" w:rsidRPr="00F94066" w:rsidRDefault="00905A13" w:rsidP="00F94066">
    <w:pPr>
      <w:pStyle w:val="Footer"/>
      <w:ind w:hanging="2268"/>
      <w:jc w:val="right"/>
      <w:rPr>
        <w:rFonts w:ascii="Arial" w:hAnsi="Arial" w:cs="Arial"/>
        <w:sz w:val="18"/>
        <w:szCs w:val="18"/>
      </w:rPr>
    </w:pPr>
  </w:p>
  <w:p w14:paraId="66610715" w14:textId="0FB9AB87" w:rsidR="00905A13" w:rsidRPr="00F94066" w:rsidRDefault="00905A13" w:rsidP="00F94066">
    <w:pPr>
      <w:pStyle w:val="Footer"/>
      <w:pBdr>
        <w:top w:val="single" w:sz="6" w:space="5" w:color="00864A"/>
      </w:pBdr>
      <w:ind w:hanging="2268"/>
      <w:jc w:val="right"/>
      <w:rPr>
        <w:rFonts w:ascii="Arial" w:hAnsi="Arial" w:cs="Arial"/>
        <w:sz w:val="18"/>
        <w:szCs w:val="18"/>
      </w:rPr>
    </w:pPr>
    <w:r>
      <w:rPr>
        <w:noProof/>
        <w:lang w:eastAsia="en-GB"/>
      </w:rPr>
      <w:drawing>
        <wp:anchor distT="0" distB="0" distL="114300" distR="114300" simplePos="0" relativeHeight="251655168" behindDoc="0" locked="0" layoutInCell="1" allowOverlap="1" wp14:anchorId="6E85DB03" wp14:editId="17B1306E">
          <wp:simplePos x="0" y="0"/>
          <wp:positionH relativeFrom="column">
            <wp:posOffset>-1499870</wp:posOffset>
          </wp:positionH>
          <wp:positionV relativeFrom="paragraph">
            <wp:posOffset>95250</wp:posOffset>
          </wp:positionV>
          <wp:extent cx="2160270" cy="309245"/>
          <wp:effectExtent l="0" t="0" r="0" b="0"/>
          <wp:wrapNone/>
          <wp:docPr id="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270" cy="309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4066">
      <w:rPr>
        <w:rFonts w:ascii="Arial" w:hAnsi="Arial" w:cs="Arial"/>
        <w:sz w:val="18"/>
        <w:szCs w:val="18"/>
      </w:rPr>
      <w:t xml:space="preserve">Page </w:t>
    </w:r>
    <w:r w:rsidRPr="00F94066">
      <w:rPr>
        <w:rFonts w:ascii="Arial" w:hAnsi="Arial" w:cs="Arial"/>
        <w:b/>
        <w:bCs/>
        <w:sz w:val="18"/>
        <w:szCs w:val="18"/>
      </w:rPr>
      <w:fldChar w:fldCharType="begin"/>
    </w:r>
    <w:r w:rsidRPr="00F94066">
      <w:rPr>
        <w:rFonts w:ascii="Arial" w:hAnsi="Arial" w:cs="Arial"/>
        <w:b/>
        <w:bCs/>
        <w:sz w:val="18"/>
        <w:szCs w:val="18"/>
      </w:rPr>
      <w:instrText xml:space="preserve"> PAGE </w:instrText>
    </w:r>
    <w:r w:rsidRPr="00F94066">
      <w:rPr>
        <w:rFonts w:ascii="Arial" w:hAnsi="Arial" w:cs="Arial"/>
        <w:b/>
        <w:bCs/>
        <w:sz w:val="18"/>
        <w:szCs w:val="18"/>
      </w:rPr>
      <w:fldChar w:fldCharType="separate"/>
    </w:r>
    <w:r>
      <w:rPr>
        <w:rFonts w:ascii="Arial" w:hAnsi="Arial" w:cs="Arial"/>
        <w:b/>
        <w:bCs/>
        <w:noProof/>
        <w:sz w:val="18"/>
        <w:szCs w:val="18"/>
      </w:rPr>
      <w:t>1</w:t>
    </w:r>
    <w:r w:rsidRPr="00F94066">
      <w:rPr>
        <w:rFonts w:ascii="Arial" w:hAnsi="Arial" w:cs="Arial"/>
        <w:b/>
        <w:bCs/>
        <w:sz w:val="18"/>
        <w:szCs w:val="18"/>
      </w:rPr>
      <w:fldChar w:fldCharType="end"/>
    </w:r>
    <w:r w:rsidRPr="00F94066">
      <w:rPr>
        <w:rFonts w:ascii="Arial" w:hAnsi="Arial" w:cs="Arial"/>
        <w:sz w:val="18"/>
        <w:szCs w:val="18"/>
      </w:rPr>
      <w:t xml:space="preserve"> of </w:t>
    </w:r>
    <w:r w:rsidRPr="00F94066">
      <w:rPr>
        <w:rFonts w:ascii="Arial" w:hAnsi="Arial" w:cs="Arial"/>
        <w:b/>
        <w:bCs/>
        <w:sz w:val="18"/>
        <w:szCs w:val="18"/>
      </w:rPr>
      <w:fldChar w:fldCharType="begin"/>
    </w:r>
    <w:r w:rsidRPr="00F94066">
      <w:rPr>
        <w:rFonts w:ascii="Arial" w:hAnsi="Arial" w:cs="Arial"/>
        <w:b/>
        <w:bCs/>
        <w:sz w:val="18"/>
        <w:szCs w:val="18"/>
      </w:rPr>
      <w:instrText xml:space="preserve"> NUMPAGES  </w:instrText>
    </w:r>
    <w:r w:rsidRPr="00F94066">
      <w:rPr>
        <w:rFonts w:ascii="Arial" w:hAnsi="Arial" w:cs="Arial"/>
        <w:b/>
        <w:bCs/>
        <w:sz w:val="18"/>
        <w:szCs w:val="18"/>
      </w:rPr>
      <w:fldChar w:fldCharType="separate"/>
    </w:r>
    <w:r w:rsidR="00277A25">
      <w:rPr>
        <w:rFonts w:ascii="Arial" w:hAnsi="Arial" w:cs="Arial"/>
        <w:b/>
        <w:bCs/>
        <w:noProof/>
        <w:sz w:val="18"/>
        <w:szCs w:val="18"/>
      </w:rPr>
      <w:t>21</w:t>
    </w:r>
    <w:r w:rsidRPr="00F94066">
      <w:rPr>
        <w:rFonts w:ascii="Arial" w:hAnsi="Arial" w:cs="Arial"/>
        <w:b/>
        <w:bCs/>
        <w:sz w:val="18"/>
        <w:szCs w:val="18"/>
      </w:rPr>
      <w:fldChar w:fldCharType="end"/>
    </w:r>
  </w:p>
  <w:p w14:paraId="3359A4C5" w14:textId="77777777" w:rsidR="00905A13" w:rsidRDefault="00905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7A452" w14:textId="77777777" w:rsidR="00572438" w:rsidRDefault="00572438" w:rsidP="006725EE">
      <w:pPr>
        <w:spacing w:after="0" w:line="240" w:lineRule="auto"/>
      </w:pPr>
      <w:r>
        <w:separator/>
      </w:r>
    </w:p>
  </w:footnote>
  <w:footnote w:type="continuationSeparator" w:id="0">
    <w:p w14:paraId="0A8F3C7B" w14:textId="77777777" w:rsidR="00572438" w:rsidRDefault="00572438" w:rsidP="006725EE">
      <w:pPr>
        <w:spacing w:after="0" w:line="240" w:lineRule="auto"/>
      </w:pPr>
      <w:r>
        <w:continuationSeparator/>
      </w:r>
    </w:p>
  </w:footnote>
  <w:footnote w:type="continuationNotice" w:id="1">
    <w:p w14:paraId="62F3E3C5" w14:textId="77777777" w:rsidR="00572438" w:rsidRDefault="005724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C36F" w14:textId="01E63653" w:rsidR="00905A13" w:rsidRPr="006725EE" w:rsidRDefault="00905A13" w:rsidP="00016FD5">
    <w:pPr>
      <w:spacing w:before="240" w:after="120" w:line="240" w:lineRule="auto"/>
      <w:ind w:left="-2268" w:firstLine="2268"/>
      <w:rPr>
        <w:color w:val="auto"/>
      </w:rPr>
    </w:pPr>
    <w:r>
      <w:rPr>
        <w:noProof/>
        <w:lang w:eastAsia="en-GB"/>
      </w:rPr>
      <w:drawing>
        <wp:anchor distT="0" distB="0" distL="114300" distR="114300" simplePos="0" relativeHeight="251658240" behindDoc="0" locked="0" layoutInCell="1" allowOverlap="1" wp14:anchorId="11A4A71E" wp14:editId="77152981">
          <wp:simplePos x="0" y="0"/>
          <wp:positionH relativeFrom="column">
            <wp:posOffset>-1451610</wp:posOffset>
          </wp:positionH>
          <wp:positionV relativeFrom="paragraph">
            <wp:posOffset>28575</wp:posOffset>
          </wp:positionV>
          <wp:extent cx="1111885" cy="557530"/>
          <wp:effectExtent l="0" t="0" r="0" b="0"/>
          <wp:wrapNone/>
          <wp:docPr id="8" name="Picture 38"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885" cy="557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299" distR="114299" simplePos="0" relativeHeight="251657216" behindDoc="0" locked="0" layoutInCell="1" allowOverlap="1" wp14:anchorId="74ABED2E" wp14:editId="39DAEE42">
              <wp:simplePos x="0" y="0"/>
              <wp:positionH relativeFrom="column">
                <wp:posOffset>-178436</wp:posOffset>
              </wp:positionH>
              <wp:positionV relativeFrom="paragraph">
                <wp:posOffset>22225</wp:posOffset>
              </wp:positionV>
              <wp:extent cx="0" cy="539750"/>
              <wp:effectExtent l="0" t="0" r="0" b="12700"/>
              <wp:wrapNone/>
              <wp:docPr id="7170"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39750"/>
                      </a:xfrm>
                      <a:prstGeom prst="line">
                        <a:avLst/>
                      </a:prstGeom>
                      <a:noFill/>
                      <a:ln w="12700" cap="flat" cmpd="sng" algn="ctr">
                        <a:solidFill>
                          <a:sysClr val="window" lastClr="FFFFFF">
                            <a:lumMod val="8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88A635F" id="Straight Connector 43" o:spid="_x0000_s1026" style="position:absolute;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4.05pt,1.75pt" to="-14.05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" strokecolor="#d9d9d9" strokeweight="1pt">
              <o:lock v:ext="edit" shapetype="f"/>
            </v:line>
          </w:pict>
        </mc:Fallback>
      </mc:AlternateContent>
    </w:r>
    <w:r>
      <w:rPr>
        <w:noProof/>
        <w:lang w:eastAsia="en-GB"/>
      </w:rPr>
      <w:drawing>
        <wp:anchor distT="0" distB="0" distL="114300" distR="114300" simplePos="0" relativeHeight="251656192" behindDoc="0" locked="0" layoutInCell="1" allowOverlap="1" wp14:anchorId="02B70243" wp14:editId="1E1A9214">
          <wp:simplePos x="0" y="0"/>
          <wp:positionH relativeFrom="column">
            <wp:posOffset>4303395</wp:posOffset>
          </wp:positionH>
          <wp:positionV relativeFrom="paragraph">
            <wp:posOffset>-61595</wp:posOffset>
          </wp:positionV>
          <wp:extent cx="653415" cy="622300"/>
          <wp:effectExtent l="0" t="0" r="0" b="0"/>
          <wp:wrapNone/>
          <wp:docPr id="6" name="Picture 7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341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12E8">
      <w:t xml:space="preserve"> </w:t>
    </w:r>
    <w:r>
      <w:rPr>
        <w:rFonts w:ascii="Arial" w:hAnsi="Arial" w:cs="Arial"/>
        <w:color w:val="00864A"/>
        <w:sz w:val="40"/>
        <w:szCs w:val="56"/>
      </w:rPr>
      <w:t>Statement of Investment Principles</w:t>
    </w:r>
    <w:r w:rsidRPr="006725EE">
      <w:t xml:space="preserve"> </w:t>
    </w:r>
  </w:p>
  <w:p w14:paraId="74C44F57" w14:textId="77777777" w:rsidR="00905A13" w:rsidRDefault="00905A13" w:rsidP="00016FD5">
    <w:pPr>
      <w:pStyle w:val="Header"/>
      <w:pBdr>
        <w:bottom w:val="single" w:sz="24" w:space="1" w:color="00864A"/>
      </w:pBdr>
      <w:ind w:left="-2268" w:firstLine="2552"/>
      <w:jc w:val="right"/>
    </w:pPr>
  </w:p>
  <w:p w14:paraId="2A24AA87" w14:textId="77777777" w:rsidR="00905A13" w:rsidRPr="00016FD5" w:rsidRDefault="00905A13" w:rsidP="00016F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1D6D7" w14:textId="51B3C93B" w:rsidR="00905A13" w:rsidRPr="006725EE" w:rsidRDefault="00905A13" w:rsidP="009631C6">
    <w:pPr>
      <w:spacing w:before="240" w:after="120" w:line="240" w:lineRule="auto"/>
      <w:ind w:left="-2268" w:firstLine="2268"/>
      <w:rPr>
        <w:color w:val="auto"/>
      </w:rPr>
    </w:pPr>
    <w:r>
      <w:rPr>
        <w:noProof/>
        <w:lang w:eastAsia="en-GB"/>
      </w:rPr>
      <w:drawing>
        <wp:anchor distT="0" distB="0" distL="114300" distR="114300" simplePos="0" relativeHeight="251661312" behindDoc="0" locked="0" layoutInCell="1" allowOverlap="1" wp14:anchorId="10848923" wp14:editId="57FAF5C7">
          <wp:simplePos x="0" y="0"/>
          <wp:positionH relativeFrom="column">
            <wp:posOffset>-1451610</wp:posOffset>
          </wp:positionH>
          <wp:positionV relativeFrom="paragraph">
            <wp:posOffset>28575</wp:posOffset>
          </wp:positionV>
          <wp:extent cx="1111885" cy="557530"/>
          <wp:effectExtent l="0" t="0" r="0" b="0"/>
          <wp:wrapNone/>
          <wp:docPr id="4" name="Picture 38"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885" cy="557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299" distR="114299" simplePos="0" relativeHeight="251660288" behindDoc="0" locked="0" layoutInCell="1" allowOverlap="1" wp14:anchorId="478DADD3" wp14:editId="59A2581B">
              <wp:simplePos x="0" y="0"/>
              <wp:positionH relativeFrom="column">
                <wp:posOffset>-178436</wp:posOffset>
              </wp:positionH>
              <wp:positionV relativeFrom="paragraph">
                <wp:posOffset>22225</wp:posOffset>
              </wp:positionV>
              <wp:extent cx="0" cy="539750"/>
              <wp:effectExtent l="0" t="0" r="0" b="12700"/>
              <wp:wrapNone/>
              <wp:docPr id="7182"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39750"/>
                      </a:xfrm>
                      <a:prstGeom prst="line">
                        <a:avLst/>
                      </a:prstGeom>
                      <a:noFill/>
                      <a:ln w="12700" cap="flat" cmpd="sng" algn="ctr">
                        <a:solidFill>
                          <a:sysClr val="window" lastClr="FFFFFF">
                            <a:lumMod val="8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AF4AC46" id="Straight Connector 43"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4.05pt,1.75pt" to="-14.05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" strokecolor="#d9d9d9" strokeweight="1pt">
              <o:lock v:ext="edit" shapetype="f"/>
            </v:line>
          </w:pict>
        </mc:Fallback>
      </mc:AlternateContent>
    </w:r>
    <w:r>
      <w:rPr>
        <w:noProof/>
        <w:lang w:eastAsia="en-GB"/>
      </w:rPr>
      <w:drawing>
        <wp:anchor distT="0" distB="0" distL="114300" distR="114300" simplePos="0" relativeHeight="251659264" behindDoc="0" locked="0" layoutInCell="1" allowOverlap="1" wp14:anchorId="215254A4" wp14:editId="763AF293">
          <wp:simplePos x="0" y="0"/>
          <wp:positionH relativeFrom="column">
            <wp:posOffset>4303395</wp:posOffset>
          </wp:positionH>
          <wp:positionV relativeFrom="paragraph">
            <wp:posOffset>-61595</wp:posOffset>
          </wp:positionV>
          <wp:extent cx="653415" cy="622300"/>
          <wp:effectExtent l="0" t="0" r="0" b="0"/>
          <wp:wrapNone/>
          <wp:docPr id="2" name="Picture 7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341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12E8">
      <w:t xml:space="preserve"> </w:t>
    </w:r>
    <w:r>
      <w:rPr>
        <w:rFonts w:ascii="Arial" w:hAnsi="Arial" w:cs="Arial"/>
        <w:color w:val="00864A"/>
        <w:sz w:val="40"/>
        <w:szCs w:val="56"/>
      </w:rPr>
      <w:t>Trustees</w:t>
    </w:r>
    <w:r w:rsidRPr="003712E8">
      <w:rPr>
        <w:rFonts w:ascii="Arial" w:hAnsi="Arial" w:cs="Arial"/>
        <w:color w:val="00864A"/>
        <w:sz w:val="40"/>
        <w:szCs w:val="56"/>
      </w:rPr>
      <w:t xml:space="preserve"> Report to Members 2014</w:t>
    </w:r>
    <w:r w:rsidRPr="006725EE">
      <w:t xml:space="preserve"> </w:t>
    </w:r>
  </w:p>
  <w:p w14:paraId="26FBC5C2" w14:textId="77777777" w:rsidR="00905A13" w:rsidRDefault="00905A13" w:rsidP="009631C6">
    <w:pPr>
      <w:pStyle w:val="Header"/>
      <w:pBdr>
        <w:bottom w:val="single" w:sz="24" w:space="1" w:color="00864A"/>
      </w:pBdr>
      <w:ind w:left="-2268" w:firstLine="2552"/>
      <w:jc w:val="right"/>
    </w:pPr>
  </w:p>
  <w:p w14:paraId="23DE5A2D" w14:textId="77777777" w:rsidR="00905A13" w:rsidRPr="009631C6" w:rsidRDefault="00905A13" w:rsidP="009631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EDDA0"/>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9442FDD"/>
    <w:multiLevelType w:val="hybridMultilevel"/>
    <w:tmpl w:val="FEC21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D6CBE"/>
    <w:multiLevelType w:val="hybridMultilevel"/>
    <w:tmpl w:val="0A9C6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E30BF"/>
    <w:multiLevelType w:val="multilevel"/>
    <w:tmpl w:val="0809001D"/>
    <w:numStyleLink w:val="Style1"/>
  </w:abstractNum>
  <w:abstractNum w:abstractNumId="4" w15:restartNumberingAfterBreak="0">
    <w:nsid w:val="12642FA2"/>
    <w:multiLevelType w:val="hybridMultilevel"/>
    <w:tmpl w:val="3EC6B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52709"/>
    <w:multiLevelType w:val="hybridMultilevel"/>
    <w:tmpl w:val="27BE2C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9D1C06"/>
    <w:multiLevelType w:val="hybridMultilevel"/>
    <w:tmpl w:val="B1BE7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F1307"/>
    <w:multiLevelType w:val="hybridMultilevel"/>
    <w:tmpl w:val="2B8E70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D66739"/>
    <w:multiLevelType w:val="hybridMultilevel"/>
    <w:tmpl w:val="775EB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4D12AD"/>
    <w:multiLevelType w:val="hybridMultilevel"/>
    <w:tmpl w:val="5D5E36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34318E"/>
    <w:multiLevelType w:val="multilevel"/>
    <w:tmpl w:val="AC12A42A"/>
    <w:styleLink w:val="Listbullets"/>
    <w:lvl w:ilvl="0">
      <w:start w:val="1"/>
      <w:numFmt w:val="bullet"/>
      <w:pStyle w:val="ListBullet"/>
      <w:lvlText w:val=""/>
      <w:lvlJc w:val="left"/>
      <w:pPr>
        <w:ind w:left="340" w:hanging="340"/>
      </w:pPr>
      <w:rPr>
        <w:rFonts w:ascii="Symbol" w:hAnsi="Symbol" w:hint="default"/>
        <w:color w:val="44546A"/>
      </w:rPr>
    </w:lvl>
    <w:lvl w:ilvl="1">
      <w:start w:val="1"/>
      <w:numFmt w:val="bullet"/>
      <w:lvlText w:val=""/>
      <w:lvlJc w:val="left"/>
      <w:pPr>
        <w:ind w:left="680" w:hanging="340"/>
      </w:pPr>
      <w:rPr>
        <w:rFonts w:ascii="Symbol" w:hAnsi="Symbol" w:hint="default"/>
        <w:color w:val="44546A"/>
      </w:rPr>
    </w:lvl>
    <w:lvl w:ilvl="2">
      <w:start w:val="1"/>
      <w:numFmt w:val="bullet"/>
      <w:lvlText w:val=""/>
      <w:lvlJc w:val="left"/>
      <w:pPr>
        <w:tabs>
          <w:tab w:val="num" w:pos="567"/>
        </w:tabs>
        <w:ind w:left="1020" w:hanging="340"/>
      </w:pPr>
      <w:rPr>
        <w:rFonts w:ascii="Symbol" w:hAnsi="Symbol" w:hint="default"/>
        <w:color w:val="44546A"/>
      </w:rPr>
    </w:lvl>
    <w:lvl w:ilvl="3">
      <w:start w:val="1"/>
      <w:numFmt w:val="bullet"/>
      <w:lvlText w:val=""/>
      <w:lvlJc w:val="left"/>
      <w:pPr>
        <w:ind w:left="1360" w:hanging="340"/>
      </w:pPr>
      <w:rPr>
        <w:rFonts w:ascii="Symbol" w:hAnsi="Symbol" w:hint="default"/>
        <w:color w:val="44546A"/>
      </w:rPr>
    </w:lvl>
    <w:lvl w:ilvl="4">
      <w:start w:val="1"/>
      <w:numFmt w:val="bullet"/>
      <w:lvlText w:val=""/>
      <w:lvlJc w:val="left"/>
      <w:pPr>
        <w:ind w:left="1700" w:hanging="340"/>
      </w:pPr>
      <w:rPr>
        <w:rFonts w:ascii="Symbol" w:hAnsi="Symbol" w:hint="default"/>
        <w:color w:val="44546A"/>
      </w:rPr>
    </w:lvl>
    <w:lvl w:ilvl="5">
      <w:start w:val="1"/>
      <w:numFmt w:val="bullet"/>
      <w:lvlText w:val=""/>
      <w:lvlJc w:val="left"/>
      <w:pPr>
        <w:ind w:left="2040" w:hanging="340"/>
      </w:pPr>
      <w:rPr>
        <w:rFonts w:ascii="Symbol" w:hAnsi="Symbol" w:hint="default"/>
        <w:color w:val="44546A"/>
      </w:rPr>
    </w:lvl>
    <w:lvl w:ilvl="6">
      <w:start w:val="1"/>
      <w:numFmt w:val="bullet"/>
      <w:lvlText w:val=""/>
      <w:lvlJc w:val="left"/>
      <w:pPr>
        <w:ind w:left="2380" w:hanging="340"/>
      </w:pPr>
      <w:rPr>
        <w:rFonts w:ascii="Symbol" w:hAnsi="Symbol" w:hint="default"/>
        <w:color w:val="44546A"/>
      </w:rPr>
    </w:lvl>
    <w:lvl w:ilvl="7">
      <w:start w:val="1"/>
      <w:numFmt w:val="bullet"/>
      <w:lvlText w:val=""/>
      <w:lvlJc w:val="left"/>
      <w:pPr>
        <w:ind w:left="2720" w:hanging="340"/>
      </w:pPr>
      <w:rPr>
        <w:rFonts w:ascii="Symbol" w:hAnsi="Symbol" w:hint="default"/>
        <w:color w:val="44546A"/>
      </w:rPr>
    </w:lvl>
    <w:lvl w:ilvl="8">
      <w:start w:val="1"/>
      <w:numFmt w:val="bullet"/>
      <w:lvlText w:val=""/>
      <w:lvlJc w:val="left"/>
      <w:pPr>
        <w:ind w:left="3060" w:hanging="340"/>
      </w:pPr>
      <w:rPr>
        <w:rFonts w:ascii="Symbol" w:hAnsi="Symbol" w:hint="default"/>
        <w:color w:val="44546A"/>
      </w:rPr>
    </w:lvl>
  </w:abstractNum>
  <w:abstractNum w:abstractNumId="11" w15:restartNumberingAfterBreak="0">
    <w:nsid w:val="29501C9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5A29D3"/>
    <w:multiLevelType w:val="hybridMultilevel"/>
    <w:tmpl w:val="67FA5F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6563210"/>
    <w:multiLevelType w:val="hybridMultilevel"/>
    <w:tmpl w:val="749E59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6674AD6"/>
    <w:multiLevelType w:val="hybridMultilevel"/>
    <w:tmpl w:val="63425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F32992"/>
    <w:multiLevelType w:val="hybridMultilevel"/>
    <w:tmpl w:val="0096EC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AA75D8B"/>
    <w:multiLevelType w:val="hybridMultilevel"/>
    <w:tmpl w:val="EF60D8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F9150D6"/>
    <w:multiLevelType w:val="hybridMultilevel"/>
    <w:tmpl w:val="F1085C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8DF677A"/>
    <w:multiLevelType w:val="multilevel"/>
    <w:tmpl w:val="AC12A42A"/>
    <w:numStyleLink w:val="Listbullets"/>
  </w:abstractNum>
  <w:abstractNum w:abstractNumId="19" w15:restartNumberingAfterBreak="0">
    <w:nsid w:val="4D767260"/>
    <w:multiLevelType w:val="hybridMultilevel"/>
    <w:tmpl w:val="55CE1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7370F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25F3AF9"/>
    <w:multiLevelType w:val="hybridMultilevel"/>
    <w:tmpl w:val="63E4A6DE"/>
    <w:lvl w:ilvl="0" w:tplc="41A6DE7A">
      <w:start w:val="1"/>
      <w:numFmt w:val="bullet"/>
      <w:lvlText w:val="•"/>
      <w:lvlJc w:val="left"/>
      <w:pPr>
        <w:tabs>
          <w:tab w:val="num" w:pos="720"/>
        </w:tabs>
        <w:ind w:left="720" w:hanging="360"/>
      </w:pPr>
      <w:rPr>
        <w:rFonts w:ascii="Arial" w:hAnsi="Arial" w:hint="default"/>
      </w:rPr>
    </w:lvl>
    <w:lvl w:ilvl="1" w:tplc="7A104610" w:tentative="1">
      <w:start w:val="1"/>
      <w:numFmt w:val="bullet"/>
      <w:lvlText w:val="•"/>
      <w:lvlJc w:val="left"/>
      <w:pPr>
        <w:tabs>
          <w:tab w:val="num" w:pos="1440"/>
        </w:tabs>
        <w:ind w:left="1440" w:hanging="360"/>
      </w:pPr>
      <w:rPr>
        <w:rFonts w:ascii="Arial" w:hAnsi="Arial" w:hint="default"/>
      </w:rPr>
    </w:lvl>
    <w:lvl w:ilvl="2" w:tplc="6B4EED14" w:tentative="1">
      <w:start w:val="1"/>
      <w:numFmt w:val="bullet"/>
      <w:lvlText w:val="•"/>
      <w:lvlJc w:val="left"/>
      <w:pPr>
        <w:tabs>
          <w:tab w:val="num" w:pos="2160"/>
        </w:tabs>
        <w:ind w:left="2160" w:hanging="360"/>
      </w:pPr>
      <w:rPr>
        <w:rFonts w:ascii="Arial" w:hAnsi="Arial" w:hint="default"/>
      </w:rPr>
    </w:lvl>
    <w:lvl w:ilvl="3" w:tplc="C838AF7E" w:tentative="1">
      <w:start w:val="1"/>
      <w:numFmt w:val="bullet"/>
      <w:lvlText w:val="•"/>
      <w:lvlJc w:val="left"/>
      <w:pPr>
        <w:tabs>
          <w:tab w:val="num" w:pos="2880"/>
        </w:tabs>
        <w:ind w:left="2880" w:hanging="360"/>
      </w:pPr>
      <w:rPr>
        <w:rFonts w:ascii="Arial" w:hAnsi="Arial" w:hint="default"/>
      </w:rPr>
    </w:lvl>
    <w:lvl w:ilvl="4" w:tplc="DF7C19D8" w:tentative="1">
      <w:start w:val="1"/>
      <w:numFmt w:val="bullet"/>
      <w:lvlText w:val="•"/>
      <w:lvlJc w:val="left"/>
      <w:pPr>
        <w:tabs>
          <w:tab w:val="num" w:pos="3600"/>
        </w:tabs>
        <w:ind w:left="3600" w:hanging="360"/>
      </w:pPr>
      <w:rPr>
        <w:rFonts w:ascii="Arial" w:hAnsi="Arial" w:hint="default"/>
      </w:rPr>
    </w:lvl>
    <w:lvl w:ilvl="5" w:tplc="DDEE778E" w:tentative="1">
      <w:start w:val="1"/>
      <w:numFmt w:val="bullet"/>
      <w:lvlText w:val="•"/>
      <w:lvlJc w:val="left"/>
      <w:pPr>
        <w:tabs>
          <w:tab w:val="num" w:pos="4320"/>
        </w:tabs>
        <w:ind w:left="4320" w:hanging="360"/>
      </w:pPr>
      <w:rPr>
        <w:rFonts w:ascii="Arial" w:hAnsi="Arial" w:hint="default"/>
      </w:rPr>
    </w:lvl>
    <w:lvl w:ilvl="6" w:tplc="DE1A10F0" w:tentative="1">
      <w:start w:val="1"/>
      <w:numFmt w:val="bullet"/>
      <w:lvlText w:val="•"/>
      <w:lvlJc w:val="left"/>
      <w:pPr>
        <w:tabs>
          <w:tab w:val="num" w:pos="5040"/>
        </w:tabs>
        <w:ind w:left="5040" w:hanging="360"/>
      </w:pPr>
      <w:rPr>
        <w:rFonts w:ascii="Arial" w:hAnsi="Arial" w:hint="default"/>
      </w:rPr>
    </w:lvl>
    <w:lvl w:ilvl="7" w:tplc="4CB65C40" w:tentative="1">
      <w:start w:val="1"/>
      <w:numFmt w:val="bullet"/>
      <w:lvlText w:val="•"/>
      <w:lvlJc w:val="left"/>
      <w:pPr>
        <w:tabs>
          <w:tab w:val="num" w:pos="5760"/>
        </w:tabs>
        <w:ind w:left="5760" w:hanging="360"/>
      </w:pPr>
      <w:rPr>
        <w:rFonts w:ascii="Arial" w:hAnsi="Arial" w:hint="default"/>
      </w:rPr>
    </w:lvl>
    <w:lvl w:ilvl="8" w:tplc="5548FF5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4660C2B"/>
    <w:multiLevelType w:val="hybridMultilevel"/>
    <w:tmpl w:val="DB389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CB0448"/>
    <w:multiLevelType w:val="hybridMultilevel"/>
    <w:tmpl w:val="E92616E4"/>
    <w:lvl w:ilvl="0" w:tplc="93860072">
      <w:start w:val="1"/>
      <w:numFmt w:val="bullet"/>
      <w:lvlText w:val="•"/>
      <w:lvlJc w:val="left"/>
      <w:pPr>
        <w:tabs>
          <w:tab w:val="num" w:pos="720"/>
        </w:tabs>
        <w:ind w:left="720" w:hanging="360"/>
      </w:pPr>
      <w:rPr>
        <w:rFonts w:ascii="Arial" w:hAnsi="Arial" w:hint="default"/>
      </w:rPr>
    </w:lvl>
    <w:lvl w:ilvl="1" w:tplc="80A842AE" w:tentative="1">
      <w:start w:val="1"/>
      <w:numFmt w:val="bullet"/>
      <w:lvlText w:val="•"/>
      <w:lvlJc w:val="left"/>
      <w:pPr>
        <w:tabs>
          <w:tab w:val="num" w:pos="1440"/>
        </w:tabs>
        <w:ind w:left="1440" w:hanging="360"/>
      </w:pPr>
      <w:rPr>
        <w:rFonts w:ascii="Arial" w:hAnsi="Arial" w:hint="default"/>
      </w:rPr>
    </w:lvl>
    <w:lvl w:ilvl="2" w:tplc="A2B0CE12" w:tentative="1">
      <w:start w:val="1"/>
      <w:numFmt w:val="bullet"/>
      <w:lvlText w:val="•"/>
      <w:lvlJc w:val="left"/>
      <w:pPr>
        <w:tabs>
          <w:tab w:val="num" w:pos="2160"/>
        </w:tabs>
        <w:ind w:left="2160" w:hanging="360"/>
      </w:pPr>
      <w:rPr>
        <w:rFonts w:ascii="Arial" w:hAnsi="Arial" w:hint="default"/>
      </w:rPr>
    </w:lvl>
    <w:lvl w:ilvl="3" w:tplc="221E426E" w:tentative="1">
      <w:start w:val="1"/>
      <w:numFmt w:val="bullet"/>
      <w:lvlText w:val="•"/>
      <w:lvlJc w:val="left"/>
      <w:pPr>
        <w:tabs>
          <w:tab w:val="num" w:pos="2880"/>
        </w:tabs>
        <w:ind w:left="2880" w:hanging="360"/>
      </w:pPr>
      <w:rPr>
        <w:rFonts w:ascii="Arial" w:hAnsi="Arial" w:hint="default"/>
      </w:rPr>
    </w:lvl>
    <w:lvl w:ilvl="4" w:tplc="EDD8FCA6" w:tentative="1">
      <w:start w:val="1"/>
      <w:numFmt w:val="bullet"/>
      <w:lvlText w:val="•"/>
      <w:lvlJc w:val="left"/>
      <w:pPr>
        <w:tabs>
          <w:tab w:val="num" w:pos="3600"/>
        </w:tabs>
        <w:ind w:left="3600" w:hanging="360"/>
      </w:pPr>
      <w:rPr>
        <w:rFonts w:ascii="Arial" w:hAnsi="Arial" w:hint="default"/>
      </w:rPr>
    </w:lvl>
    <w:lvl w:ilvl="5" w:tplc="FEB652F6" w:tentative="1">
      <w:start w:val="1"/>
      <w:numFmt w:val="bullet"/>
      <w:lvlText w:val="•"/>
      <w:lvlJc w:val="left"/>
      <w:pPr>
        <w:tabs>
          <w:tab w:val="num" w:pos="4320"/>
        </w:tabs>
        <w:ind w:left="4320" w:hanging="360"/>
      </w:pPr>
      <w:rPr>
        <w:rFonts w:ascii="Arial" w:hAnsi="Arial" w:hint="default"/>
      </w:rPr>
    </w:lvl>
    <w:lvl w:ilvl="6" w:tplc="14E4BFDE" w:tentative="1">
      <w:start w:val="1"/>
      <w:numFmt w:val="bullet"/>
      <w:lvlText w:val="•"/>
      <w:lvlJc w:val="left"/>
      <w:pPr>
        <w:tabs>
          <w:tab w:val="num" w:pos="5040"/>
        </w:tabs>
        <w:ind w:left="5040" w:hanging="360"/>
      </w:pPr>
      <w:rPr>
        <w:rFonts w:ascii="Arial" w:hAnsi="Arial" w:hint="default"/>
      </w:rPr>
    </w:lvl>
    <w:lvl w:ilvl="7" w:tplc="1AD250E2" w:tentative="1">
      <w:start w:val="1"/>
      <w:numFmt w:val="bullet"/>
      <w:lvlText w:val="•"/>
      <w:lvlJc w:val="left"/>
      <w:pPr>
        <w:tabs>
          <w:tab w:val="num" w:pos="5760"/>
        </w:tabs>
        <w:ind w:left="5760" w:hanging="360"/>
      </w:pPr>
      <w:rPr>
        <w:rFonts w:ascii="Arial" w:hAnsi="Arial" w:hint="default"/>
      </w:rPr>
    </w:lvl>
    <w:lvl w:ilvl="8" w:tplc="7DB2832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A135980"/>
    <w:multiLevelType w:val="hybridMultilevel"/>
    <w:tmpl w:val="AB520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3966C4"/>
    <w:multiLevelType w:val="hybridMultilevel"/>
    <w:tmpl w:val="57363B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3A641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83224BC"/>
    <w:multiLevelType w:val="multilevel"/>
    <w:tmpl w:val="0809001D"/>
    <w:styleLink w:val="Style1"/>
    <w:lvl w:ilvl="0">
      <w:start w:val="1"/>
      <w:numFmt w:val="bullet"/>
      <w:pStyle w:val="BulletList"/>
      <w:lvlText w:val=""/>
      <w:lvlJc w:val="left"/>
      <w:pPr>
        <w:ind w:left="360" w:hanging="360"/>
      </w:pPr>
      <w:rPr>
        <w:rFonts w:ascii="Symbol" w:hAnsi="Symbol" w:hint="default"/>
        <w:color w:val="BFBFBF"/>
      </w:rPr>
    </w:lvl>
    <w:lvl w:ilvl="1">
      <w:start w:val="1"/>
      <w:numFmt w:val="bullet"/>
      <w:lvlText w:val="♦"/>
      <w:lvlJc w:val="left"/>
      <w:pPr>
        <w:ind w:left="720" w:hanging="360"/>
      </w:pPr>
      <w:rPr>
        <w:rFonts w:ascii="Arial" w:hAnsi="Arial" w:hint="default"/>
        <w:color w:val="BFBFBF"/>
      </w:rPr>
    </w:lvl>
    <w:lvl w:ilvl="2">
      <w:start w:val="1"/>
      <w:numFmt w:val="bullet"/>
      <w:lvlText w:val="o"/>
      <w:lvlJc w:val="left"/>
      <w:pPr>
        <w:ind w:left="1080" w:hanging="360"/>
      </w:pPr>
      <w:rPr>
        <w:rFonts w:ascii="Courier New" w:hAnsi="Courier New" w:hint="default"/>
        <w:color w:val="BFBFBF"/>
      </w:rPr>
    </w:lvl>
    <w:lvl w:ilvl="3">
      <w:start w:val="1"/>
      <w:numFmt w:val="bullet"/>
      <w:lvlText w:val="-"/>
      <w:lvlJc w:val="left"/>
      <w:pPr>
        <w:ind w:left="1440" w:hanging="360"/>
      </w:pPr>
      <w:rPr>
        <w:rFonts w:ascii="Arial" w:hAnsi="Arial" w:hint="default"/>
        <w:color w:val="BFBFBF"/>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9AF2152"/>
    <w:multiLevelType w:val="hybridMultilevel"/>
    <w:tmpl w:val="E544E7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AE23B96"/>
    <w:multiLevelType w:val="hybridMultilevel"/>
    <w:tmpl w:val="644082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114B77"/>
    <w:multiLevelType w:val="hybridMultilevel"/>
    <w:tmpl w:val="ED6AC0C6"/>
    <w:lvl w:ilvl="0" w:tplc="08090001">
      <w:start w:val="1"/>
      <w:numFmt w:val="bullet"/>
      <w:lvlText w:val=""/>
      <w:lvlJc w:val="left"/>
      <w:pPr>
        <w:ind w:left="720" w:hanging="360"/>
      </w:pPr>
      <w:rPr>
        <w:rFonts w:ascii="Symbol" w:hAnsi="Symbol" w:hint="default"/>
      </w:rPr>
    </w:lvl>
    <w:lvl w:ilvl="1" w:tplc="0186B914">
      <w:numFmt w:val="bullet"/>
      <w:lvlText w:val="•"/>
      <w:lvlJc w:val="left"/>
      <w:pPr>
        <w:ind w:left="1440" w:hanging="360"/>
      </w:pPr>
      <w:rPr>
        <w:rFonts w:ascii="Calibri" w:eastAsia="Calibri" w:hAnsi="Calibri" w:cs="Times New Roman"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3C10B7"/>
    <w:multiLevelType w:val="hybridMultilevel"/>
    <w:tmpl w:val="F892B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6772808">
    <w:abstractNumId w:val="11"/>
  </w:num>
  <w:num w:numId="2" w16cid:durableId="1176186241">
    <w:abstractNumId w:val="27"/>
  </w:num>
  <w:num w:numId="3" w16cid:durableId="561598618">
    <w:abstractNumId w:val="3"/>
    <w:lvlOverride w:ilvl="0">
      <w:lvl w:ilvl="0">
        <w:start w:val="1"/>
        <w:numFmt w:val="bullet"/>
        <w:pStyle w:val="BulletList"/>
        <w:lvlText w:val=""/>
        <w:lvlJc w:val="left"/>
        <w:pPr>
          <w:ind w:left="360" w:hanging="360"/>
        </w:pPr>
        <w:rPr>
          <w:rFonts w:ascii="Symbol" w:hAnsi="Symbol" w:hint="default"/>
          <w:color w:val="BFBFBF" w:themeColor="background1" w:themeShade="BF"/>
          <w:sz w:val="22"/>
          <w:szCs w:val="22"/>
        </w:rPr>
      </w:lvl>
    </w:lvlOverride>
    <w:lvlOverride w:ilvl="1">
      <w:lvl w:ilvl="1">
        <w:start w:val="1"/>
        <w:numFmt w:val="bullet"/>
        <w:lvlText w:val="♦"/>
        <w:lvlJc w:val="left"/>
        <w:pPr>
          <w:ind w:left="720" w:hanging="360"/>
        </w:pPr>
        <w:rPr>
          <w:rFonts w:ascii="Arial" w:hAnsi="Arial" w:hint="default"/>
          <w:color w:val="BFBFBF" w:themeColor="background1" w:themeShade="BF"/>
        </w:rPr>
      </w:lvl>
    </w:lvlOverride>
    <w:lvlOverride w:ilvl="2">
      <w:lvl w:ilvl="2">
        <w:start w:val="1"/>
        <w:numFmt w:val="bullet"/>
        <w:lvlText w:val="o"/>
        <w:lvlJc w:val="left"/>
        <w:pPr>
          <w:ind w:left="1080" w:hanging="360"/>
        </w:pPr>
        <w:rPr>
          <w:rFonts w:ascii="Courier New" w:hAnsi="Courier New" w:hint="default"/>
          <w:color w:val="BFBFBF" w:themeColor="background1" w:themeShade="BF"/>
        </w:rPr>
      </w:lvl>
    </w:lvlOverride>
    <w:lvlOverride w:ilvl="3">
      <w:lvl w:ilvl="3">
        <w:start w:val="1"/>
        <w:numFmt w:val="bullet"/>
        <w:lvlText w:val="-"/>
        <w:lvlJc w:val="left"/>
        <w:pPr>
          <w:ind w:left="1440" w:hanging="360"/>
        </w:pPr>
        <w:rPr>
          <w:rFonts w:ascii="Arial" w:hAnsi="Arial" w:hint="default"/>
          <w:color w:val="BFBFBF" w:themeColor="background1" w:themeShade="BF"/>
        </w:r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4" w16cid:durableId="1876769426">
    <w:abstractNumId w:val="20"/>
  </w:num>
  <w:num w:numId="5" w16cid:durableId="39134764">
    <w:abstractNumId w:val="26"/>
  </w:num>
  <w:num w:numId="6" w16cid:durableId="1121343798">
    <w:abstractNumId w:val="23"/>
  </w:num>
  <w:num w:numId="7" w16cid:durableId="990249811">
    <w:abstractNumId w:val="2"/>
  </w:num>
  <w:num w:numId="8" w16cid:durableId="2075926589">
    <w:abstractNumId w:val="28"/>
  </w:num>
  <w:num w:numId="9" w16cid:durableId="1743791553">
    <w:abstractNumId w:val="30"/>
  </w:num>
  <w:num w:numId="10" w16cid:durableId="2047437700">
    <w:abstractNumId w:val="24"/>
  </w:num>
  <w:num w:numId="11" w16cid:durableId="1317999007">
    <w:abstractNumId w:val="21"/>
  </w:num>
  <w:num w:numId="12" w16cid:durableId="1187789838">
    <w:abstractNumId w:val="22"/>
  </w:num>
  <w:num w:numId="13" w16cid:durableId="1800957497">
    <w:abstractNumId w:val="4"/>
  </w:num>
  <w:num w:numId="14" w16cid:durableId="2100758393">
    <w:abstractNumId w:val="31"/>
  </w:num>
  <w:num w:numId="15" w16cid:durableId="1553034689">
    <w:abstractNumId w:val="16"/>
  </w:num>
  <w:num w:numId="16" w16cid:durableId="876697753">
    <w:abstractNumId w:val="13"/>
  </w:num>
  <w:num w:numId="17" w16cid:durableId="1871381898">
    <w:abstractNumId w:val="12"/>
  </w:num>
  <w:num w:numId="18" w16cid:durableId="995959282">
    <w:abstractNumId w:val="15"/>
  </w:num>
  <w:num w:numId="19" w16cid:durableId="1264218378">
    <w:abstractNumId w:val="17"/>
  </w:num>
  <w:num w:numId="20" w16cid:durableId="460657427">
    <w:abstractNumId w:val="14"/>
  </w:num>
  <w:num w:numId="21" w16cid:durableId="938371140">
    <w:abstractNumId w:val="5"/>
  </w:num>
  <w:num w:numId="22" w16cid:durableId="1163473326">
    <w:abstractNumId w:val="7"/>
  </w:num>
  <w:num w:numId="23" w16cid:durableId="112213897">
    <w:abstractNumId w:val="29"/>
  </w:num>
  <w:num w:numId="24" w16cid:durableId="521281077">
    <w:abstractNumId w:val="19"/>
  </w:num>
  <w:num w:numId="25" w16cid:durableId="289558163">
    <w:abstractNumId w:val="8"/>
  </w:num>
  <w:num w:numId="26" w16cid:durableId="2025011532">
    <w:abstractNumId w:val="1"/>
  </w:num>
  <w:num w:numId="27" w16cid:durableId="2021271769">
    <w:abstractNumId w:val="9"/>
  </w:num>
  <w:num w:numId="28" w16cid:durableId="302202099">
    <w:abstractNumId w:val="25"/>
  </w:num>
  <w:num w:numId="29" w16cid:durableId="1167131016">
    <w:abstractNumId w:val="10"/>
  </w:num>
  <w:num w:numId="30" w16cid:durableId="1708027457">
    <w:abstractNumId w:val="18"/>
  </w:num>
  <w:num w:numId="31" w16cid:durableId="61373081">
    <w:abstractNumId w:val="0"/>
  </w:num>
  <w:num w:numId="32" w16cid:durableId="1397584826">
    <w:abstractNumId w:val="6"/>
  </w:num>
  <w:num w:numId="33" w16cid:durableId="18295925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efaultTableStyle w:val="MediumGrid3-Accent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5EE"/>
    <w:rsid w:val="00010A0F"/>
    <w:rsid w:val="00014F60"/>
    <w:rsid w:val="00016FD5"/>
    <w:rsid w:val="00024E5A"/>
    <w:rsid w:val="000367BA"/>
    <w:rsid w:val="00036D51"/>
    <w:rsid w:val="00037362"/>
    <w:rsid w:val="00042A67"/>
    <w:rsid w:val="00044FDF"/>
    <w:rsid w:val="000476A0"/>
    <w:rsid w:val="00055808"/>
    <w:rsid w:val="00056A91"/>
    <w:rsid w:val="0006283F"/>
    <w:rsid w:val="00063A6A"/>
    <w:rsid w:val="000731CF"/>
    <w:rsid w:val="000743C7"/>
    <w:rsid w:val="000777D8"/>
    <w:rsid w:val="00085A01"/>
    <w:rsid w:val="0009116E"/>
    <w:rsid w:val="000974DB"/>
    <w:rsid w:val="000A17E5"/>
    <w:rsid w:val="000A2791"/>
    <w:rsid w:val="000B6D6F"/>
    <w:rsid w:val="000C77C2"/>
    <w:rsid w:val="000D41EB"/>
    <w:rsid w:val="000D4486"/>
    <w:rsid w:val="000E10BE"/>
    <w:rsid w:val="000E7B13"/>
    <w:rsid w:val="000F2456"/>
    <w:rsid w:val="0010788C"/>
    <w:rsid w:val="001161E4"/>
    <w:rsid w:val="001231C4"/>
    <w:rsid w:val="001379A3"/>
    <w:rsid w:val="0014110B"/>
    <w:rsid w:val="001611CC"/>
    <w:rsid w:val="001665B8"/>
    <w:rsid w:val="00182859"/>
    <w:rsid w:val="001A2D66"/>
    <w:rsid w:val="001C4599"/>
    <w:rsid w:val="001F40CF"/>
    <w:rsid w:val="001F4DA3"/>
    <w:rsid w:val="001F5995"/>
    <w:rsid w:val="00205C44"/>
    <w:rsid w:val="00207B7E"/>
    <w:rsid w:val="00214A47"/>
    <w:rsid w:val="00214B73"/>
    <w:rsid w:val="00214FCB"/>
    <w:rsid w:val="0025430D"/>
    <w:rsid w:val="00266EA4"/>
    <w:rsid w:val="00274AB4"/>
    <w:rsid w:val="00276B57"/>
    <w:rsid w:val="00277A25"/>
    <w:rsid w:val="002858E6"/>
    <w:rsid w:val="00287A9B"/>
    <w:rsid w:val="002924A4"/>
    <w:rsid w:val="0029363F"/>
    <w:rsid w:val="002A6CBC"/>
    <w:rsid w:val="002B3400"/>
    <w:rsid w:val="002B4C33"/>
    <w:rsid w:val="002B52B7"/>
    <w:rsid w:val="002C0B0E"/>
    <w:rsid w:val="002C5B37"/>
    <w:rsid w:val="002D3ADC"/>
    <w:rsid w:val="002D448F"/>
    <w:rsid w:val="002D45A1"/>
    <w:rsid w:val="002E0DC4"/>
    <w:rsid w:val="002E3203"/>
    <w:rsid w:val="002F338E"/>
    <w:rsid w:val="002F4107"/>
    <w:rsid w:val="002F5646"/>
    <w:rsid w:val="002F5957"/>
    <w:rsid w:val="003109C7"/>
    <w:rsid w:val="003501FF"/>
    <w:rsid w:val="003516A7"/>
    <w:rsid w:val="00356E86"/>
    <w:rsid w:val="00361515"/>
    <w:rsid w:val="00363625"/>
    <w:rsid w:val="003712E8"/>
    <w:rsid w:val="00374299"/>
    <w:rsid w:val="003942C9"/>
    <w:rsid w:val="003B3044"/>
    <w:rsid w:val="003B5095"/>
    <w:rsid w:val="003B707E"/>
    <w:rsid w:val="003C1E9D"/>
    <w:rsid w:val="003C71D9"/>
    <w:rsid w:val="003D07AD"/>
    <w:rsid w:val="003D151B"/>
    <w:rsid w:val="003D4CE7"/>
    <w:rsid w:val="003E0B56"/>
    <w:rsid w:val="003F7EA0"/>
    <w:rsid w:val="00405D8A"/>
    <w:rsid w:val="00407335"/>
    <w:rsid w:val="004174B7"/>
    <w:rsid w:val="004200E5"/>
    <w:rsid w:val="00422D96"/>
    <w:rsid w:val="0043777E"/>
    <w:rsid w:val="00455342"/>
    <w:rsid w:val="004562B4"/>
    <w:rsid w:val="00461801"/>
    <w:rsid w:val="00466755"/>
    <w:rsid w:val="00470E75"/>
    <w:rsid w:val="00476C49"/>
    <w:rsid w:val="004908BC"/>
    <w:rsid w:val="00496C3C"/>
    <w:rsid w:val="004A28F6"/>
    <w:rsid w:val="004B6AEF"/>
    <w:rsid w:val="004C2819"/>
    <w:rsid w:val="004D21E1"/>
    <w:rsid w:val="004D3C2C"/>
    <w:rsid w:val="004D5250"/>
    <w:rsid w:val="004D6F2E"/>
    <w:rsid w:val="004E4E61"/>
    <w:rsid w:val="004F15D8"/>
    <w:rsid w:val="004F249F"/>
    <w:rsid w:val="004F72F2"/>
    <w:rsid w:val="004F7904"/>
    <w:rsid w:val="00504595"/>
    <w:rsid w:val="00510D8D"/>
    <w:rsid w:val="0052401C"/>
    <w:rsid w:val="00524FB5"/>
    <w:rsid w:val="005253A0"/>
    <w:rsid w:val="00527393"/>
    <w:rsid w:val="00530486"/>
    <w:rsid w:val="00552332"/>
    <w:rsid w:val="0055300C"/>
    <w:rsid w:val="005537C9"/>
    <w:rsid w:val="00555BF9"/>
    <w:rsid w:val="00572438"/>
    <w:rsid w:val="00574CB3"/>
    <w:rsid w:val="00584BFA"/>
    <w:rsid w:val="00592414"/>
    <w:rsid w:val="005B3F8A"/>
    <w:rsid w:val="005B7C03"/>
    <w:rsid w:val="005C5C1B"/>
    <w:rsid w:val="005D3536"/>
    <w:rsid w:val="005D5CA6"/>
    <w:rsid w:val="005E47AF"/>
    <w:rsid w:val="005E7414"/>
    <w:rsid w:val="006015A1"/>
    <w:rsid w:val="00615129"/>
    <w:rsid w:val="006165C2"/>
    <w:rsid w:val="00617EF4"/>
    <w:rsid w:val="006239FD"/>
    <w:rsid w:val="00624515"/>
    <w:rsid w:val="00635F2A"/>
    <w:rsid w:val="00644E07"/>
    <w:rsid w:val="00656503"/>
    <w:rsid w:val="006725EE"/>
    <w:rsid w:val="00673CBB"/>
    <w:rsid w:val="00676071"/>
    <w:rsid w:val="00681731"/>
    <w:rsid w:val="006932D0"/>
    <w:rsid w:val="006967A6"/>
    <w:rsid w:val="00696C01"/>
    <w:rsid w:val="006A0BFF"/>
    <w:rsid w:val="006A5615"/>
    <w:rsid w:val="006B0969"/>
    <w:rsid w:val="006B5A94"/>
    <w:rsid w:val="006B7260"/>
    <w:rsid w:val="006C27E9"/>
    <w:rsid w:val="006C2EFB"/>
    <w:rsid w:val="006D0761"/>
    <w:rsid w:val="006D270D"/>
    <w:rsid w:val="006D6B98"/>
    <w:rsid w:val="006E0D74"/>
    <w:rsid w:val="006F35C4"/>
    <w:rsid w:val="006F7227"/>
    <w:rsid w:val="007025CA"/>
    <w:rsid w:val="00720CF1"/>
    <w:rsid w:val="00723C14"/>
    <w:rsid w:val="0074501C"/>
    <w:rsid w:val="0074558A"/>
    <w:rsid w:val="007513FE"/>
    <w:rsid w:val="007540DE"/>
    <w:rsid w:val="00756747"/>
    <w:rsid w:val="007602C1"/>
    <w:rsid w:val="0076336A"/>
    <w:rsid w:val="007640F7"/>
    <w:rsid w:val="00770699"/>
    <w:rsid w:val="00782F93"/>
    <w:rsid w:val="0078325B"/>
    <w:rsid w:val="007945E4"/>
    <w:rsid w:val="007B0033"/>
    <w:rsid w:val="007B1A67"/>
    <w:rsid w:val="007C21B1"/>
    <w:rsid w:val="007D22A8"/>
    <w:rsid w:val="007D2CD2"/>
    <w:rsid w:val="007F53B9"/>
    <w:rsid w:val="008054E6"/>
    <w:rsid w:val="00807E50"/>
    <w:rsid w:val="0081623D"/>
    <w:rsid w:val="00822957"/>
    <w:rsid w:val="00831C20"/>
    <w:rsid w:val="00832BD1"/>
    <w:rsid w:val="00834689"/>
    <w:rsid w:val="00835381"/>
    <w:rsid w:val="0084279D"/>
    <w:rsid w:val="00842C97"/>
    <w:rsid w:val="00850304"/>
    <w:rsid w:val="00855F0F"/>
    <w:rsid w:val="008575C8"/>
    <w:rsid w:val="00862281"/>
    <w:rsid w:val="00863EB4"/>
    <w:rsid w:val="008712C4"/>
    <w:rsid w:val="00882DB2"/>
    <w:rsid w:val="00884019"/>
    <w:rsid w:val="008942FC"/>
    <w:rsid w:val="00895F31"/>
    <w:rsid w:val="008A6E3B"/>
    <w:rsid w:val="008B2B09"/>
    <w:rsid w:val="008B537A"/>
    <w:rsid w:val="008B7F85"/>
    <w:rsid w:val="008C3169"/>
    <w:rsid w:val="008C421A"/>
    <w:rsid w:val="008D0053"/>
    <w:rsid w:val="008D2B84"/>
    <w:rsid w:val="008D6154"/>
    <w:rsid w:val="008E2509"/>
    <w:rsid w:val="00902EB7"/>
    <w:rsid w:val="00905A13"/>
    <w:rsid w:val="0090783A"/>
    <w:rsid w:val="00943241"/>
    <w:rsid w:val="00960818"/>
    <w:rsid w:val="009631C6"/>
    <w:rsid w:val="009661CF"/>
    <w:rsid w:val="00972993"/>
    <w:rsid w:val="00974109"/>
    <w:rsid w:val="00986B21"/>
    <w:rsid w:val="009915DA"/>
    <w:rsid w:val="009B2CE2"/>
    <w:rsid w:val="009D2FA2"/>
    <w:rsid w:val="009D381D"/>
    <w:rsid w:val="009D7683"/>
    <w:rsid w:val="009D7F5A"/>
    <w:rsid w:val="009E4941"/>
    <w:rsid w:val="009F0365"/>
    <w:rsid w:val="00A00076"/>
    <w:rsid w:val="00A11C94"/>
    <w:rsid w:val="00A263F6"/>
    <w:rsid w:val="00A37411"/>
    <w:rsid w:val="00A400A4"/>
    <w:rsid w:val="00A409B3"/>
    <w:rsid w:val="00A42AD0"/>
    <w:rsid w:val="00A43959"/>
    <w:rsid w:val="00A51D3B"/>
    <w:rsid w:val="00A54626"/>
    <w:rsid w:val="00A630E7"/>
    <w:rsid w:val="00A70598"/>
    <w:rsid w:val="00A77123"/>
    <w:rsid w:val="00A83051"/>
    <w:rsid w:val="00AB24BB"/>
    <w:rsid w:val="00AB6A7A"/>
    <w:rsid w:val="00AC03F8"/>
    <w:rsid w:val="00AC3B8B"/>
    <w:rsid w:val="00AD100D"/>
    <w:rsid w:val="00AE1952"/>
    <w:rsid w:val="00AF1243"/>
    <w:rsid w:val="00B1635B"/>
    <w:rsid w:val="00B22F35"/>
    <w:rsid w:val="00B35F23"/>
    <w:rsid w:val="00B41F34"/>
    <w:rsid w:val="00B500A0"/>
    <w:rsid w:val="00B5050E"/>
    <w:rsid w:val="00B62743"/>
    <w:rsid w:val="00B65147"/>
    <w:rsid w:val="00B678D6"/>
    <w:rsid w:val="00B704D8"/>
    <w:rsid w:val="00B722A7"/>
    <w:rsid w:val="00B80669"/>
    <w:rsid w:val="00B81D3D"/>
    <w:rsid w:val="00B86F2A"/>
    <w:rsid w:val="00B91C28"/>
    <w:rsid w:val="00BA287E"/>
    <w:rsid w:val="00BA41B5"/>
    <w:rsid w:val="00BB16C5"/>
    <w:rsid w:val="00BB67BB"/>
    <w:rsid w:val="00BC24DF"/>
    <w:rsid w:val="00BD0462"/>
    <w:rsid w:val="00BE64F4"/>
    <w:rsid w:val="00BF49D3"/>
    <w:rsid w:val="00C0211D"/>
    <w:rsid w:val="00C1129E"/>
    <w:rsid w:val="00C11610"/>
    <w:rsid w:val="00C130B0"/>
    <w:rsid w:val="00C13377"/>
    <w:rsid w:val="00C22A10"/>
    <w:rsid w:val="00C4511E"/>
    <w:rsid w:val="00C46404"/>
    <w:rsid w:val="00C55311"/>
    <w:rsid w:val="00C60101"/>
    <w:rsid w:val="00C64EAA"/>
    <w:rsid w:val="00C660CC"/>
    <w:rsid w:val="00C73278"/>
    <w:rsid w:val="00C741EA"/>
    <w:rsid w:val="00C7719B"/>
    <w:rsid w:val="00C82FCE"/>
    <w:rsid w:val="00C83B56"/>
    <w:rsid w:val="00C96CA3"/>
    <w:rsid w:val="00CA38D2"/>
    <w:rsid w:val="00CA4D2C"/>
    <w:rsid w:val="00CB0BFC"/>
    <w:rsid w:val="00CB3A30"/>
    <w:rsid w:val="00CB4915"/>
    <w:rsid w:val="00CC42E8"/>
    <w:rsid w:val="00CC6A39"/>
    <w:rsid w:val="00CD157D"/>
    <w:rsid w:val="00CD4F6C"/>
    <w:rsid w:val="00CD74A9"/>
    <w:rsid w:val="00CD7905"/>
    <w:rsid w:val="00D00C1A"/>
    <w:rsid w:val="00D05261"/>
    <w:rsid w:val="00D057A5"/>
    <w:rsid w:val="00D15B98"/>
    <w:rsid w:val="00D25982"/>
    <w:rsid w:val="00D26E2E"/>
    <w:rsid w:val="00D274A1"/>
    <w:rsid w:val="00D60237"/>
    <w:rsid w:val="00D676D3"/>
    <w:rsid w:val="00D87CB3"/>
    <w:rsid w:val="00DA0895"/>
    <w:rsid w:val="00DA12B9"/>
    <w:rsid w:val="00DA2322"/>
    <w:rsid w:val="00DA5544"/>
    <w:rsid w:val="00DA76F4"/>
    <w:rsid w:val="00DB0AAA"/>
    <w:rsid w:val="00DB7B3F"/>
    <w:rsid w:val="00DD4660"/>
    <w:rsid w:val="00DE2241"/>
    <w:rsid w:val="00DE4B46"/>
    <w:rsid w:val="00DF479B"/>
    <w:rsid w:val="00DF587E"/>
    <w:rsid w:val="00E0111E"/>
    <w:rsid w:val="00E06D96"/>
    <w:rsid w:val="00E10EF8"/>
    <w:rsid w:val="00E12995"/>
    <w:rsid w:val="00E16AB2"/>
    <w:rsid w:val="00E17BDF"/>
    <w:rsid w:val="00E27649"/>
    <w:rsid w:val="00E31CA5"/>
    <w:rsid w:val="00E35944"/>
    <w:rsid w:val="00E55B5C"/>
    <w:rsid w:val="00E62CA6"/>
    <w:rsid w:val="00E637E7"/>
    <w:rsid w:val="00E746EF"/>
    <w:rsid w:val="00E77C67"/>
    <w:rsid w:val="00E80ED7"/>
    <w:rsid w:val="00E907E1"/>
    <w:rsid w:val="00E914C1"/>
    <w:rsid w:val="00E9243C"/>
    <w:rsid w:val="00E96344"/>
    <w:rsid w:val="00EB42C9"/>
    <w:rsid w:val="00EB59FE"/>
    <w:rsid w:val="00EC3EB4"/>
    <w:rsid w:val="00EC4F92"/>
    <w:rsid w:val="00ED0205"/>
    <w:rsid w:val="00ED555E"/>
    <w:rsid w:val="00EE4D6E"/>
    <w:rsid w:val="00EF3644"/>
    <w:rsid w:val="00EF5C13"/>
    <w:rsid w:val="00F10C70"/>
    <w:rsid w:val="00F135E3"/>
    <w:rsid w:val="00F14CDC"/>
    <w:rsid w:val="00F16259"/>
    <w:rsid w:val="00F23971"/>
    <w:rsid w:val="00F24F71"/>
    <w:rsid w:val="00F277E8"/>
    <w:rsid w:val="00F44B93"/>
    <w:rsid w:val="00F54A90"/>
    <w:rsid w:val="00F63B04"/>
    <w:rsid w:val="00F72435"/>
    <w:rsid w:val="00F77CD7"/>
    <w:rsid w:val="00F829BB"/>
    <w:rsid w:val="00F844A6"/>
    <w:rsid w:val="00F87A62"/>
    <w:rsid w:val="00F94066"/>
    <w:rsid w:val="00F949AA"/>
    <w:rsid w:val="00FA75F6"/>
    <w:rsid w:val="00FA7EA8"/>
    <w:rsid w:val="00FB36A9"/>
    <w:rsid w:val="00FC225E"/>
    <w:rsid w:val="00FC517F"/>
    <w:rsid w:val="00FC77F4"/>
    <w:rsid w:val="00FD42FC"/>
    <w:rsid w:val="00FF09A8"/>
    <w:rsid w:val="00FF3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57FAF2"/>
  <w15:chartTrackingRefBased/>
  <w15:docId w15:val="{A674E14E-FFD4-4963-8465-5F015A80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B3F"/>
    <w:pPr>
      <w:spacing w:after="200" w:line="276" w:lineRule="auto"/>
    </w:pPr>
    <w:rPr>
      <w:color w:val="404040"/>
      <w:sz w:val="22"/>
      <w:szCs w:val="22"/>
      <w:lang w:eastAsia="en-US"/>
    </w:rPr>
  </w:style>
  <w:style w:type="paragraph" w:styleId="Heading1">
    <w:name w:val="heading 1"/>
    <w:basedOn w:val="Normal"/>
    <w:next w:val="Normal"/>
    <w:link w:val="Heading1Char"/>
    <w:uiPriority w:val="9"/>
    <w:qFormat/>
    <w:rsid w:val="00B91C28"/>
    <w:pPr>
      <w:keepNext/>
      <w:keepLines/>
      <w:spacing w:before="360" w:after="0"/>
      <w:outlineLvl w:val="0"/>
    </w:pPr>
    <w:rPr>
      <w:rFonts w:ascii="Arial Bold" w:eastAsia="MS Gothic" w:hAnsi="Arial Bold"/>
      <w:b/>
      <w:bCs/>
      <w:color w:val="00864A"/>
      <w:sz w:val="28"/>
      <w:szCs w:val="28"/>
    </w:rPr>
  </w:style>
  <w:style w:type="paragraph" w:styleId="Heading2">
    <w:name w:val="heading 2"/>
    <w:basedOn w:val="Normal"/>
    <w:next w:val="Normal"/>
    <w:link w:val="Heading2Char"/>
    <w:uiPriority w:val="9"/>
    <w:unhideWhenUsed/>
    <w:qFormat/>
    <w:rsid w:val="000974DB"/>
    <w:pPr>
      <w:keepNext/>
      <w:keepLines/>
      <w:spacing w:before="200" w:after="0"/>
      <w:outlineLvl w:val="1"/>
    </w:pPr>
    <w:rPr>
      <w:rFonts w:ascii="Arial" w:eastAsia="MS Gothic" w:hAnsi="Arial"/>
      <w:b/>
      <w:bCs/>
      <w:color w:val="00864A"/>
      <w:sz w:val="24"/>
      <w:szCs w:val="26"/>
    </w:rPr>
  </w:style>
  <w:style w:type="paragraph" w:styleId="Heading3">
    <w:name w:val="heading 3"/>
    <w:basedOn w:val="Normal"/>
    <w:next w:val="Normal"/>
    <w:link w:val="Heading3Char"/>
    <w:uiPriority w:val="9"/>
    <w:unhideWhenUsed/>
    <w:qFormat/>
    <w:rsid w:val="000974DB"/>
    <w:pPr>
      <w:keepNext/>
      <w:keepLines/>
      <w:spacing w:before="200" w:after="0"/>
      <w:outlineLvl w:val="2"/>
    </w:pPr>
    <w:rPr>
      <w:rFonts w:ascii="Arial" w:eastAsia="MS Gothic" w:hAnsi="Arial"/>
      <w:bCs/>
      <w:color w:val="00864A"/>
    </w:rPr>
  </w:style>
  <w:style w:type="paragraph" w:styleId="Heading4">
    <w:name w:val="heading 4"/>
    <w:basedOn w:val="Normal"/>
    <w:next w:val="Normal"/>
    <w:link w:val="Heading4Char"/>
    <w:uiPriority w:val="9"/>
    <w:unhideWhenUsed/>
    <w:qFormat/>
    <w:rsid w:val="00A409B3"/>
    <w:pPr>
      <w:keepNext/>
      <w:keepLines/>
      <w:spacing w:before="200" w:after="0"/>
      <w:outlineLvl w:val="3"/>
    </w:pPr>
    <w:rPr>
      <w:rFonts w:ascii="Cambria" w:eastAsia="MS Gothic"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5EE"/>
    <w:pPr>
      <w:tabs>
        <w:tab w:val="center" w:pos="4513"/>
        <w:tab w:val="right" w:pos="9026"/>
      </w:tabs>
      <w:spacing w:after="0" w:line="240" w:lineRule="auto"/>
    </w:pPr>
  </w:style>
  <w:style w:type="character" w:customStyle="1" w:styleId="HeaderChar">
    <w:name w:val="Header Char"/>
    <w:link w:val="Header"/>
    <w:uiPriority w:val="99"/>
    <w:rsid w:val="006725EE"/>
    <w:rPr>
      <w:lang w:val="en-GB"/>
    </w:rPr>
  </w:style>
  <w:style w:type="paragraph" w:styleId="Footer">
    <w:name w:val="footer"/>
    <w:basedOn w:val="Normal"/>
    <w:link w:val="FooterChar"/>
    <w:uiPriority w:val="99"/>
    <w:unhideWhenUsed/>
    <w:rsid w:val="006725EE"/>
    <w:pPr>
      <w:tabs>
        <w:tab w:val="center" w:pos="4513"/>
        <w:tab w:val="right" w:pos="9026"/>
      </w:tabs>
      <w:spacing w:after="0" w:line="240" w:lineRule="auto"/>
    </w:pPr>
  </w:style>
  <w:style w:type="character" w:customStyle="1" w:styleId="FooterChar">
    <w:name w:val="Footer Char"/>
    <w:link w:val="Footer"/>
    <w:uiPriority w:val="99"/>
    <w:rsid w:val="006725EE"/>
    <w:rPr>
      <w:lang w:val="en-GB"/>
    </w:rPr>
  </w:style>
  <w:style w:type="paragraph" w:styleId="BalloonText">
    <w:name w:val="Balloon Text"/>
    <w:basedOn w:val="Normal"/>
    <w:link w:val="BalloonTextChar"/>
    <w:uiPriority w:val="99"/>
    <w:semiHidden/>
    <w:unhideWhenUsed/>
    <w:rsid w:val="006725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25EE"/>
    <w:rPr>
      <w:rFonts w:ascii="Tahoma" w:hAnsi="Tahoma" w:cs="Tahoma"/>
      <w:sz w:val="16"/>
      <w:szCs w:val="16"/>
      <w:lang w:val="en-GB"/>
    </w:rPr>
  </w:style>
  <w:style w:type="character" w:customStyle="1" w:styleId="Heading1Char">
    <w:name w:val="Heading 1 Char"/>
    <w:link w:val="Heading1"/>
    <w:uiPriority w:val="9"/>
    <w:rsid w:val="00B91C28"/>
    <w:rPr>
      <w:rFonts w:ascii="Arial Bold" w:eastAsia="MS Gothic" w:hAnsi="Arial Bold" w:cs="Times New Roman"/>
      <w:b/>
      <w:bCs/>
      <w:color w:val="00864A"/>
      <w:sz w:val="28"/>
      <w:szCs w:val="28"/>
      <w:lang w:val="en-GB"/>
    </w:rPr>
  </w:style>
  <w:style w:type="character" w:customStyle="1" w:styleId="Heading2Char">
    <w:name w:val="Heading 2 Char"/>
    <w:link w:val="Heading2"/>
    <w:uiPriority w:val="9"/>
    <w:rsid w:val="000974DB"/>
    <w:rPr>
      <w:rFonts w:ascii="Arial" w:eastAsia="MS Gothic" w:hAnsi="Arial" w:cs="Times New Roman"/>
      <w:b/>
      <w:bCs/>
      <w:color w:val="00864A"/>
      <w:sz w:val="24"/>
      <w:szCs w:val="26"/>
      <w:lang w:val="en-GB"/>
    </w:rPr>
  </w:style>
  <w:style w:type="character" w:customStyle="1" w:styleId="Heading3Char">
    <w:name w:val="Heading 3 Char"/>
    <w:link w:val="Heading3"/>
    <w:uiPriority w:val="9"/>
    <w:rsid w:val="000974DB"/>
    <w:rPr>
      <w:rFonts w:ascii="Arial" w:eastAsia="MS Gothic" w:hAnsi="Arial" w:cs="Times New Roman"/>
      <w:bCs/>
      <w:color w:val="00864A"/>
      <w:lang w:val="en-GB"/>
    </w:rPr>
  </w:style>
  <w:style w:type="character" w:styleId="SubtleEmphasis">
    <w:name w:val="Subtle Emphasis"/>
    <w:uiPriority w:val="19"/>
    <w:qFormat/>
    <w:rsid w:val="0014110B"/>
    <w:rPr>
      <w:rFonts w:ascii="Arial" w:hAnsi="Arial"/>
      <w:i w:val="0"/>
      <w:iCs/>
      <w:color w:val="404040"/>
      <w:sz w:val="28"/>
    </w:rPr>
  </w:style>
  <w:style w:type="numbering" w:customStyle="1" w:styleId="Style1">
    <w:name w:val="Style1"/>
    <w:uiPriority w:val="99"/>
    <w:rsid w:val="00527393"/>
    <w:pPr>
      <w:numPr>
        <w:numId w:val="2"/>
      </w:numPr>
    </w:pPr>
  </w:style>
  <w:style w:type="paragraph" w:styleId="ListParagraph">
    <w:name w:val="List Paragraph"/>
    <w:basedOn w:val="Normal"/>
    <w:link w:val="ListParagraphChar"/>
    <w:uiPriority w:val="34"/>
    <w:qFormat/>
    <w:rsid w:val="0014110B"/>
    <w:pPr>
      <w:ind w:left="720"/>
      <w:contextualSpacing/>
    </w:pPr>
  </w:style>
  <w:style w:type="paragraph" w:styleId="Subtitle">
    <w:name w:val="Subtitle"/>
    <w:basedOn w:val="Normal"/>
    <w:next w:val="Normal"/>
    <w:link w:val="SubtitleChar"/>
    <w:uiPriority w:val="11"/>
    <w:rsid w:val="0014110B"/>
    <w:pPr>
      <w:numPr>
        <w:ilvl w:val="1"/>
      </w:numPr>
    </w:pPr>
    <w:rPr>
      <w:rFonts w:ascii="Arial" w:eastAsia="MS Gothic" w:hAnsi="Arial"/>
      <w:iCs/>
      <w:color w:val="00864A"/>
      <w:spacing w:val="15"/>
      <w:sz w:val="28"/>
      <w:szCs w:val="24"/>
    </w:rPr>
  </w:style>
  <w:style w:type="character" w:customStyle="1" w:styleId="SubtitleChar">
    <w:name w:val="Subtitle Char"/>
    <w:link w:val="Subtitle"/>
    <w:uiPriority w:val="11"/>
    <w:rsid w:val="0014110B"/>
    <w:rPr>
      <w:rFonts w:ascii="Arial" w:eastAsia="MS Gothic" w:hAnsi="Arial" w:cs="Times New Roman"/>
      <w:iCs/>
      <w:color w:val="00864A"/>
      <w:spacing w:val="15"/>
      <w:sz w:val="28"/>
      <w:szCs w:val="24"/>
      <w:lang w:val="en-GB"/>
    </w:rPr>
  </w:style>
  <w:style w:type="character" w:styleId="Emphasis">
    <w:name w:val="Emphasis"/>
    <w:uiPriority w:val="20"/>
    <w:qFormat/>
    <w:rsid w:val="0014110B"/>
    <w:rPr>
      <w:rFonts w:ascii="Arial" w:hAnsi="Arial"/>
      <w:b w:val="0"/>
      <w:i w:val="0"/>
      <w:iCs/>
      <w:color w:val="00864A"/>
      <w:sz w:val="28"/>
    </w:rPr>
  </w:style>
  <w:style w:type="paragraph" w:customStyle="1" w:styleId="BulletList">
    <w:name w:val="Bullet List"/>
    <w:basedOn w:val="ListParagraph"/>
    <w:link w:val="BulletListChar"/>
    <w:qFormat/>
    <w:rsid w:val="0014110B"/>
    <w:pPr>
      <w:numPr>
        <w:numId w:val="3"/>
      </w:numPr>
    </w:pPr>
  </w:style>
  <w:style w:type="paragraph" w:customStyle="1" w:styleId="NoteHeader">
    <w:name w:val="Note Header"/>
    <w:basedOn w:val="Normal"/>
    <w:link w:val="NoteHeaderChar"/>
    <w:qFormat/>
    <w:rsid w:val="000A17E5"/>
    <w:pPr>
      <w:pBdr>
        <w:top w:val="single" w:sz="4" w:space="1" w:color="A6A6A6"/>
        <w:left w:val="single" w:sz="4" w:space="4" w:color="A6A6A6"/>
        <w:bottom w:val="single" w:sz="4" w:space="1" w:color="A6A6A6"/>
        <w:right w:val="single" w:sz="4" w:space="4" w:color="A6A6A6"/>
      </w:pBdr>
      <w:spacing w:after="120" w:line="240" w:lineRule="auto"/>
      <w:jc w:val="right"/>
    </w:pPr>
    <w:rPr>
      <w:rFonts w:ascii="Arial" w:hAnsi="Arial"/>
      <w:color w:val="A6A6A6"/>
      <w:sz w:val="28"/>
    </w:rPr>
  </w:style>
  <w:style w:type="character" w:customStyle="1" w:styleId="ListParagraphChar">
    <w:name w:val="List Paragraph Char"/>
    <w:link w:val="ListParagraph"/>
    <w:uiPriority w:val="34"/>
    <w:rsid w:val="0014110B"/>
    <w:rPr>
      <w:color w:val="404040"/>
      <w:lang w:val="en-GB"/>
    </w:rPr>
  </w:style>
  <w:style w:type="character" w:customStyle="1" w:styleId="BulletListChar">
    <w:name w:val="Bullet List Char"/>
    <w:link w:val="BulletList"/>
    <w:rsid w:val="0014110B"/>
    <w:rPr>
      <w:color w:val="404040"/>
      <w:lang w:val="en-GB"/>
    </w:rPr>
  </w:style>
  <w:style w:type="paragraph" w:customStyle="1" w:styleId="Notetext">
    <w:name w:val="Note text"/>
    <w:basedOn w:val="NoteHeader"/>
    <w:link w:val="NotetextChar"/>
    <w:qFormat/>
    <w:rsid w:val="000A17E5"/>
    <w:pPr>
      <w:jc w:val="left"/>
    </w:pPr>
    <w:rPr>
      <w:rFonts w:ascii="Calibri" w:hAnsi="Calibri"/>
      <w:color w:val="404040"/>
      <w:sz w:val="22"/>
    </w:rPr>
  </w:style>
  <w:style w:type="character" w:customStyle="1" w:styleId="NoteHeaderChar">
    <w:name w:val="Note Header Char"/>
    <w:link w:val="NoteHeader"/>
    <w:rsid w:val="000A17E5"/>
    <w:rPr>
      <w:rFonts w:ascii="Arial" w:hAnsi="Arial"/>
      <w:color w:val="A6A6A6"/>
      <w:sz w:val="28"/>
      <w:lang w:val="en-GB"/>
    </w:rPr>
  </w:style>
  <w:style w:type="paragraph" w:customStyle="1" w:styleId="Notebullet">
    <w:name w:val="Note bullet"/>
    <w:basedOn w:val="BulletList"/>
    <w:link w:val="NotebulletChar"/>
    <w:qFormat/>
    <w:rsid w:val="000A17E5"/>
    <w:pPr>
      <w:pBdr>
        <w:top w:val="single" w:sz="4" w:space="1" w:color="A6A6A6"/>
        <w:left w:val="single" w:sz="4" w:space="4" w:color="A6A6A6"/>
        <w:bottom w:val="single" w:sz="4" w:space="1" w:color="A6A6A6"/>
        <w:right w:val="single" w:sz="4" w:space="4" w:color="A6A6A6"/>
      </w:pBdr>
    </w:pPr>
  </w:style>
  <w:style w:type="character" w:customStyle="1" w:styleId="NotetextChar">
    <w:name w:val="Note text Char"/>
    <w:link w:val="Notetext"/>
    <w:rsid w:val="000A17E5"/>
    <w:rPr>
      <w:rFonts w:ascii="Arial" w:hAnsi="Arial"/>
      <w:color w:val="404040"/>
      <w:sz w:val="28"/>
      <w:lang w:val="en-GB"/>
    </w:rPr>
  </w:style>
  <w:style w:type="table" w:styleId="TableGrid">
    <w:name w:val="Table Grid"/>
    <w:aliases w:val="Table Horizontal 2"/>
    <w:basedOn w:val="TableNormal"/>
    <w:uiPriority w:val="59"/>
    <w:rsid w:val="000A1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bulletChar">
    <w:name w:val="Note bullet Char"/>
    <w:link w:val="Notebullet"/>
    <w:rsid w:val="000A17E5"/>
    <w:rPr>
      <w:color w:val="404040"/>
      <w:lang w:val="en-GB"/>
    </w:rPr>
  </w:style>
  <w:style w:type="table" w:styleId="LightShading-Accent3">
    <w:name w:val="Light Shading Accent 3"/>
    <w:basedOn w:val="TableNormal"/>
    <w:uiPriority w:val="60"/>
    <w:rsid w:val="000A17E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3">
    <w:name w:val="Medium Grid 3 Accent 3"/>
    <w:basedOn w:val="TableNormal"/>
    <w:uiPriority w:val="69"/>
    <w:rsid w:val="00B91C28"/>
    <w:rPr>
      <w:color w:val="404040"/>
    </w:rPr>
    <w:tblPr>
      <w:tblStyleRowBandSize w:val="1"/>
      <w:tblStyleColBandSize w:val="1"/>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Pr>
    <w:tcPr>
      <w:shd w:val="clear" w:color="auto" w:fill="F2F2F2"/>
    </w:tcPr>
    <w:tblStylePr w:type="firstRow">
      <w:rPr>
        <w:rFonts w:ascii="Calibri" w:hAnsi="Calibri"/>
        <w:b/>
        <w:bCs/>
        <w:i w:val="0"/>
        <w:iCs w:val="0"/>
        <w:color w:val="FFFFFF"/>
        <w:sz w:val="20"/>
      </w:rPr>
      <w:tblPr/>
      <w:tcPr>
        <w:shd w:val="clear" w:color="auto" w:fill="00864A"/>
      </w:tcPr>
    </w:tblStylePr>
    <w:tblStylePr w:type="lastRow">
      <w:rPr>
        <w:b/>
        <w:bCs/>
        <w:i w:val="0"/>
        <w:iCs w:val="0"/>
        <w:color w:val="FFFFFF"/>
      </w:rPr>
    </w:tblStylePr>
    <w:tblStylePr w:type="firstCol">
      <w:rPr>
        <w:b/>
        <w:bCs/>
        <w:i w:val="0"/>
        <w:iCs w:val="0"/>
        <w:color w:val="FFFFFF"/>
      </w:rPr>
      <w:tblPr/>
      <w:tcPr>
        <w:shd w:val="clear" w:color="auto" w:fill="00864A"/>
      </w:tcPr>
    </w:tblStylePr>
    <w:tblStylePr w:type="lastCol">
      <w:rPr>
        <w:b/>
        <w:bCs/>
        <w:i w:val="0"/>
        <w:iCs w:val="0"/>
        <w:color w:val="FFFFFF"/>
      </w:rPr>
    </w:tblStylePr>
    <w:tblStylePr w:type="band1Horz">
      <w:tblPr/>
      <w:tcPr>
        <w:shd w:val="clear" w:color="auto" w:fill="D9D9D9"/>
      </w:tcPr>
    </w:tblStylePr>
    <w:tblStylePr w:type="nwCell">
      <w:tblPr/>
      <w:tcPr>
        <w:shd w:val="clear" w:color="auto" w:fill="FFFFFF"/>
      </w:tcPr>
    </w:tblStylePr>
  </w:style>
  <w:style w:type="paragraph" w:customStyle="1" w:styleId="Callout">
    <w:name w:val="Callout"/>
    <w:basedOn w:val="Normal"/>
    <w:link w:val="CalloutChar"/>
    <w:qFormat/>
    <w:rsid w:val="00B91C28"/>
    <w:pPr>
      <w:framePr w:w="1701" w:wrap="around" w:vAnchor="text" w:hAnchor="page" w:y="1"/>
      <w:spacing w:line="240" w:lineRule="auto"/>
    </w:pPr>
    <w:rPr>
      <w:color w:val="00864A"/>
      <w:sz w:val="20"/>
    </w:rPr>
  </w:style>
  <w:style w:type="paragraph" w:customStyle="1" w:styleId="Introtext">
    <w:name w:val="Intro text"/>
    <w:basedOn w:val="Heading1"/>
    <w:link w:val="IntrotextChar"/>
    <w:qFormat/>
    <w:rsid w:val="00016FD5"/>
    <w:pPr>
      <w:spacing w:before="0" w:after="120"/>
    </w:pPr>
    <w:rPr>
      <w:rFonts w:ascii="Arial" w:hAnsi="Arial"/>
      <w:b w:val="0"/>
      <w:color w:val="404040"/>
    </w:rPr>
  </w:style>
  <w:style w:type="character" w:customStyle="1" w:styleId="CalloutChar">
    <w:name w:val="Callout Char"/>
    <w:link w:val="Callout"/>
    <w:rsid w:val="00B91C28"/>
    <w:rPr>
      <w:color w:val="00864A"/>
      <w:sz w:val="20"/>
      <w:lang w:val="en-GB"/>
    </w:rPr>
  </w:style>
  <w:style w:type="paragraph" w:customStyle="1" w:styleId="IntroHighlighted">
    <w:name w:val="Intro Highlighted"/>
    <w:basedOn w:val="Introtext"/>
    <w:link w:val="IntroHighlightedChar"/>
    <w:qFormat/>
    <w:rsid w:val="00016FD5"/>
    <w:rPr>
      <w:b/>
      <w:color w:val="00864A"/>
    </w:rPr>
  </w:style>
  <w:style w:type="character" w:customStyle="1" w:styleId="IntrotextChar">
    <w:name w:val="Intro text Char"/>
    <w:link w:val="Introtext"/>
    <w:rsid w:val="00016FD5"/>
    <w:rPr>
      <w:rFonts w:ascii="Arial" w:eastAsia="MS Gothic" w:hAnsi="Arial" w:cs="Times New Roman"/>
      <w:b w:val="0"/>
      <w:bCs/>
      <w:color w:val="404040"/>
      <w:sz w:val="28"/>
      <w:szCs w:val="28"/>
      <w:lang w:val="en-GB"/>
    </w:rPr>
  </w:style>
  <w:style w:type="character" w:customStyle="1" w:styleId="IntroHighlightedChar">
    <w:name w:val="Intro Highlighted Char"/>
    <w:link w:val="IntroHighlighted"/>
    <w:rsid w:val="00016FD5"/>
    <w:rPr>
      <w:rFonts w:ascii="Arial" w:eastAsia="MS Gothic" w:hAnsi="Arial" w:cs="Times New Roman"/>
      <w:b/>
      <w:bCs/>
      <w:color w:val="00864A"/>
      <w:sz w:val="28"/>
      <w:szCs w:val="28"/>
      <w:lang w:val="en-GB"/>
    </w:rPr>
  </w:style>
  <w:style w:type="character" w:styleId="Hyperlink">
    <w:name w:val="Hyperlink"/>
    <w:uiPriority w:val="99"/>
    <w:unhideWhenUsed/>
    <w:rsid w:val="009D7683"/>
    <w:rPr>
      <w:color w:val="0000FF"/>
      <w:u w:val="single"/>
    </w:rPr>
  </w:style>
  <w:style w:type="paragraph" w:styleId="NormalWeb">
    <w:name w:val="Normal (Web)"/>
    <w:basedOn w:val="Normal"/>
    <w:uiPriority w:val="99"/>
    <w:unhideWhenUsed/>
    <w:rsid w:val="009B2CE2"/>
    <w:pPr>
      <w:spacing w:before="100" w:beforeAutospacing="1" w:after="100" w:afterAutospacing="1" w:line="240" w:lineRule="auto"/>
    </w:pPr>
    <w:rPr>
      <w:rFonts w:ascii="Times New Roman" w:eastAsia="MS Mincho" w:hAnsi="Times New Roman"/>
      <w:color w:val="auto"/>
      <w:sz w:val="24"/>
      <w:szCs w:val="24"/>
      <w:lang w:eastAsia="en-GB"/>
    </w:rPr>
  </w:style>
  <w:style w:type="character" w:customStyle="1" w:styleId="Heading4Char">
    <w:name w:val="Heading 4 Char"/>
    <w:link w:val="Heading4"/>
    <w:uiPriority w:val="9"/>
    <w:rsid w:val="00A409B3"/>
    <w:rPr>
      <w:rFonts w:ascii="Cambria" w:eastAsia="MS Gothic" w:hAnsi="Cambria" w:cs="Times New Roman"/>
      <w:b/>
      <w:bCs/>
      <w:i/>
      <w:iCs/>
      <w:color w:val="4F81BD"/>
      <w:lang w:val="en-GB"/>
    </w:rPr>
  </w:style>
  <w:style w:type="paragraph" w:styleId="TOC1">
    <w:name w:val="toc 1"/>
    <w:basedOn w:val="Normal"/>
    <w:next w:val="Normal"/>
    <w:autoRedefine/>
    <w:uiPriority w:val="39"/>
    <w:unhideWhenUsed/>
    <w:rsid w:val="00DA0895"/>
    <w:pPr>
      <w:spacing w:after="100"/>
    </w:pPr>
  </w:style>
  <w:style w:type="paragraph" w:styleId="TOC2">
    <w:name w:val="toc 2"/>
    <w:basedOn w:val="Normal"/>
    <w:next w:val="Normal"/>
    <w:autoRedefine/>
    <w:uiPriority w:val="39"/>
    <w:unhideWhenUsed/>
    <w:rsid w:val="00DA0895"/>
    <w:pPr>
      <w:spacing w:after="100"/>
      <w:ind w:left="220"/>
    </w:pPr>
  </w:style>
  <w:style w:type="paragraph" w:styleId="TOC3">
    <w:name w:val="toc 3"/>
    <w:basedOn w:val="Normal"/>
    <w:next w:val="Normal"/>
    <w:autoRedefine/>
    <w:uiPriority w:val="39"/>
    <w:unhideWhenUsed/>
    <w:rsid w:val="00DA0895"/>
    <w:pPr>
      <w:spacing w:after="100"/>
      <w:ind w:left="440"/>
    </w:pPr>
  </w:style>
  <w:style w:type="character" w:styleId="IntenseEmphasis">
    <w:name w:val="Intense Emphasis"/>
    <w:uiPriority w:val="21"/>
    <w:qFormat/>
    <w:rsid w:val="00DA0895"/>
    <w:rPr>
      <w:b/>
      <w:bCs/>
      <w:i/>
      <w:iCs/>
      <w:color w:val="4F81BD"/>
    </w:rPr>
  </w:style>
  <w:style w:type="paragraph" w:styleId="TOCHeading">
    <w:name w:val="TOC Heading"/>
    <w:basedOn w:val="Heading1"/>
    <w:next w:val="Normal"/>
    <w:uiPriority w:val="39"/>
    <w:semiHidden/>
    <w:unhideWhenUsed/>
    <w:qFormat/>
    <w:rsid w:val="00DA0895"/>
    <w:pPr>
      <w:spacing w:before="480"/>
      <w:outlineLvl w:val="9"/>
    </w:pPr>
    <w:rPr>
      <w:rFonts w:ascii="Cambria" w:hAnsi="Cambria"/>
      <w:color w:val="365F91"/>
      <w:lang w:val="en-US" w:eastAsia="ja-JP"/>
    </w:rPr>
  </w:style>
  <w:style w:type="character" w:styleId="CommentReference">
    <w:name w:val="annotation reference"/>
    <w:uiPriority w:val="99"/>
    <w:semiHidden/>
    <w:unhideWhenUsed/>
    <w:rsid w:val="005B3F8A"/>
    <w:rPr>
      <w:sz w:val="18"/>
      <w:szCs w:val="18"/>
    </w:rPr>
  </w:style>
  <w:style w:type="paragraph" w:styleId="CommentText">
    <w:name w:val="annotation text"/>
    <w:basedOn w:val="Normal"/>
    <w:link w:val="CommentTextChar"/>
    <w:uiPriority w:val="99"/>
    <w:semiHidden/>
    <w:unhideWhenUsed/>
    <w:rsid w:val="005B3F8A"/>
    <w:pPr>
      <w:spacing w:line="240" w:lineRule="auto"/>
    </w:pPr>
    <w:rPr>
      <w:sz w:val="24"/>
      <w:szCs w:val="24"/>
    </w:rPr>
  </w:style>
  <w:style w:type="character" w:customStyle="1" w:styleId="CommentTextChar">
    <w:name w:val="Comment Text Char"/>
    <w:link w:val="CommentText"/>
    <w:uiPriority w:val="99"/>
    <w:semiHidden/>
    <w:rsid w:val="005B3F8A"/>
    <w:rPr>
      <w:color w:val="404040"/>
      <w:sz w:val="24"/>
      <w:szCs w:val="24"/>
      <w:lang w:val="en-GB"/>
    </w:rPr>
  </w:style>
  <w:style w:type="paragraph" w:styleId="CommentSubject">
    <w:name w:val="annotation subject"/>
    <w:basedOn w:val="CommentText"/>
    <w:next w:val="CommentText"/>
    <w:link w:val="CommentSubjectChar"/>
    <w:uiPriority w:val="99"/>
    <w:semiHidden/>
    <w:unhideWhenUsed/>
    <w:rsid w:val="005B3F8A"/>
    <w:rPr>
      <w:b/>
      <w:bCs/>
      <w:sz w:val="20"/>
      <w:szCs w:val="20"/>
    </w:rPr>
  </w:style>
  <w:style w:type="character" w:customStyle="1" w:styleId="CommentSubjectChar">
    <w:name w:val="Comment Subject Char"/>
    <w:link w:val="CommentSubject"/>
    <w:uiPriority w:val="99"/>
    <w:semiHidden/>
    <w:rsid w:val="005B3F8A"/>
    <w:rPr>
      <w:b/>
      <w:bCs/>
      <w:color w:val="404040"/>
      <w:sz w:val="20"/>
      <w:szCs w:val="20"/>
      <w:lang w:val="en-GB"/>
    </w:rPr>
  </w:style>
  <w:style w:type="paragraph" w:customStyle="1" w:styleId="Default">
    <w:name w:val="Default"/>
    <w:rsid w:val="00B80669"/>
    <w:pPr>
      <w:autoSpaceDE w:val="0"/>
      <w:autoSpaceDN w:val="0"/>
      <w:adjustRightInd w:val="0"/>
    </w:pPr>
    <w:rPr>
      <w:rFonts w:ascii="Univers LT Std 55" w:hAnsi="Univers LT Std 55" w:cs="Univers LT Std 55"/>
      <w:color w:val="000000"/>
      <w:sz w:val="24"/>
      <w:szCs w:val="24"/>
    </w:rPr>
  </w:style>
  <w:style w:type="paragraph" w:styleId="Revision">
    <w:name w:val="Revision"/>
    <w:hidden/>
    <w:uiPriority w:val="99"/>
    <w:semiHidden/>
    <w:rsid w:val="00720CF1"/>
    <w:rPr>
      <w:color w:val="404040"/>
      <w:sz w:val="22"/>
      <w:szCs w:val="22"/>
      <w:lang w:eastAsia="en-US"/>
    </w:rPr>
  </w:style>
  <w:style w:type="paragraph" w:styleId="BodyText">
    <w:name w:val="Body Text"/>
    <w:basedOn w:val="Normal"/>
    <w:link w:val="BodyTextChar"/>
    <w:uiPriority w:val="1"/>
    <w:qFormat/>
    <w:rsid w:val="003F7EA0"/>
    <w:pPr>
      <w:spacing w:before="120" w:after="0" w:line="280" w:lineRule="atLeast"/>
    </w:pPr>
    <w:rPr>
      <w:rFonts w:ascii="Arial" w:eastAsia="Arial" w:hAnsi="Arial"/>
      <w:color w:val="0C2340"/>
      <w:sz w:val="20"/>
    </w:rPr>
  </w:style>
  <w:style w:type="character" w:customStyle="1" w:styleId="BodyTextChar">
    <w:name w:val="Body Text Char"/>
    <w:link w:val="BodyText"/>
    <w:uiPriority w:val="1"/>
    <w:rsid w:val="003F7EA0"/>
    <w:rPr>
      <w:rFonts w:ascii="Arial" w:eastAsia="Arial" w:hAnsi="Arial"/>
      <w:color w:val="0C2340"/>
      <w:szCs w:val="22"/>
      <w:lang w:eastAsia="en-US"/>
    </w:rPr>
  </w:style>
  <w:style w:type="paragraph" w:styleId="ListBullet">
    <w:name w:val="List Bullet"/>
    <w:basedOn w:val="BodyText"/>
    <w:uiPriority w:val="2"/>
    <w:qFormat/>
    <w:rsid w:val="003F7EA0"/>
    <w:pPr>
      <w:numPr>
        <w:numId w:val="30"/>
      </w:numPr>
      <w:contextualSpacing/>
    </w:pPr>
  </w:style>
  <w:style w:type="numbering" w:customStyle="1" w:styleId="Listbullets">
    <w:name w:val="__List bullets"/>
    <w:uiPriority w:val="99"/>
    <w:rsid w:val="003F7EA0"/>
    <w:pPr>
      <w:numPr>
        <w:numId w:val="29"/>
      </w:numPr>
    </w:pPr>
  </w:style>
  <w:style w:type="paragraph" w:styleId="ListBullet4">
    <w:name w:val="List Bullet 4"/>
    <w:basedOn w:val="Normal"/>
    <w:uiPriority w:val="99"/>
    <w:semiHidden/>
    <w:unhideWhenUsed/>
    <w:rsid w:val="00555BF9"/>
    <w:pPr>
      <w:numPr>
        <w:numId w:val="31"/>
      </w:numPr>
      <w:tabs>
        <w:tab w:val="clear" w:pos="1209"/>
      </w:tabs>
      <w:spacing w:before="120" w:after="0" w:line="280" w:lineRule="atLeast"/>
      <w:ind w:left="360"/>
      <w:contextualSpacing/>
    </w:pPr>
    <w:rPr>
      <w:rFonts w:ascii="Arial" w:eastAsia="Arial" w:hAnsi="Arial" w:cs="Arial"/>
      <w:color w:val="0C2340"/>
      <w:sz w:val="20"/>
    </w:rPr>
  </w:style>
  <w:style w:type="character" w:styleId="FollowedHyperlink">
    <w:name w:val="FollowedHyperlink"/>
    <w:basedOn w:val="DefaultParagraphFont"/>
    <w:uiPriority w:val="99"/>
    <w:semiHidden/>
    <w:unhideWhenUsed/>
    <w:rsid w:val="00BA41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368">
      <w:bodyDiv w:val="1"/>
      <w:marLeft w:val="0"/>
      <w:marRight w:val="0"/>
      <w:marTop w:val="0"/>
      <w:marBottom w:val="0"/>
      <w:divBdr>
        <w:top w:val="none" w:sz="0" w:space="0" w:color="auto"/>
        <w:left w:val="none" w:sz="0" w:space="0" w:color="auto"/>
        <w:bottom w:val="none" w:sz="0" w:space="0" w:color="auto"/>
        <w:right w:val="none" w:sz="0" w:space="0" w:color="auto"/>
      </w:divBdr>
    </w:div>
    <w:div w:id="57631725">
      <w:bodyDiv w:val="1"/>
      <w:marLeft w:val="0"/>
      <w:marRight w:val="0"/>
      <w:marTop w:val="0"/>
      <w:marBottom w:val="0"/>
      <w:divBdr>
        <w:top w:val="none" w:sz="0" w:space="0" w:color="auto"/>
        <w:left w:val="none" w:sz="0" w:space="0" w:color="auto"/>
        <w:bottom w:val="none" w:sz="0" w:space="0" w:color="auto"/>
        <w:right w:val="none" w:sz="0" w:space="0" w:color="auto"/>
      </w:divBdr>
    </w:div>
    <w:div w:id="100415955">
      <w:bodyDiv w:val="1"/>
      <w:marLeft w:val="0"/>
      <w:marRight w:val="0"/>
      <w:marTop w:val="0"/>
      <w:marBottom w:val="0"/>
      <w:divBdr>
        <w:top w:val="none" w:sz="0" w:space="0" w:color="auto"/>
        <w:left w:val="none" w:sz="0" w:space="0" w:color="auto"/>
        <w:bottom w:val="none" w:sz="0" w:space="0" w:color="auto"/>
        <w:right w:val="none" w:sz="0" w:space="0" w:color="auto"/>
      </w:divBdr>
    </w:div>
    <w:div w:id="157503144">
      <w:bodyDiv w:val="1"/>
      <w:marLeft w:val="0"/>
      <w:marRight w:val="0"/>
      <w:marTop w:val="0"/>
      <w:marBottom w:val="0"/>
      <w:divBdr>
        <w:top w:val="none" w:sz="0" w:space="0" w:color="auto"/>
        <w:left w:val="none" w:sz="0" w:space="0" w:color="auto"/>
        <w:bottom w:val="none" w:sz="0" w:space="0" w:color="auto"/>
        <w:right w:val="none" w:sz="0" w:space="0" w:color="auto"/>
      </w:divBdr>
    </w:div>
    <w:div w:id="277224822">
      <w:bodyDiv w:val="1"/>
      <w:marLeft w:val="0"/>
      <w:marRight w:val="0"/>
      <w:marTop w:val="0"/>
      <w:marBottom w:val="0"/>
      <w:divBdr>
        <w:top w:val="none" w:sz="0" w:space="0" w:color="auto"/>
        <w:left w:val="none" w:sz="0" w:space="0" w:color="auto"/>
        <w:bottom w:val="none" w:sz="0" w:space="0" w:color="auto"/>
        <w:right w:val="none" w:sz="0" w:space="0" w:color="auto"/>
      </w:divBdr>
    </w:div>
    <w:div w:id="279845314">
      <w:bodyDiv w:val="1"/>
      <w:marLeft w:val="0"/>
      <w:marRight w:val="0"/>
      <w:marTop w:val="0"/>
      <w:marBottom w:val="0"/>
      <w:divBdr>
        <w:top w:val="none" w:sz="0" w:space="0" w:color="auto"/>
        <w:left w:val="none" w:sz="0" w:space="0" w:color="auto"/>
        <w:bottom w:val="none" w:sz="0" w:space="0" w:color="auto"/>
        <w:right w:val="none" w:sz="0" w:space="0" w:color="auto"/>
      </w:divBdr>
    </w:div>
    <w:div w:id="336229990">
      <w:bodyDiv w:val="1"/>
      <w:marLeft w:val="0"/>
      <w:marRight w:val="0"/>
      <w:marTop w:val="0"/>
      <w:marBottom w:val="0"/>
      <w:divBdr>
        <w:top w:val="none" w:sz="0" w:space="0" w:color="auto"/>
        <w:left w:val="none" w:sz="0" w:space="0" w:color="auto"/>
        <w:bottom w:val="none" w:sz="0" w:space="0" w:color="auto"/>
        <w:right w:val="none" w:sz="0" w:space="0" w:color="auto"/>
      </w:divBdr>
    </w:div>
    <w:div w:id="336658503">
      <w:bodyDiv w:val="1"/>
      <w:marLeft w:val="0"/>
      <w:marRight w:val="0"/>
      <w:marTop w:val="0"/>
      <w:marBottom w:val="0"/>
      <w:divBdr>
        <w:top w:val="none" w:sz="0" w:space="0" w:color="auto"/>
        <w:left w:val="none" w:sz="0" w:space="0" w:color="auto"/>
        <w:bottom w:val="none" w:sz="0" w:space="0" w:color="auto"/>
        <w:right w:val="none" w:sz="0" w:space="0" w:color="auto"/>
      </w:divBdr>
    </w:div>
    <w:div w:id="348525106">
      <w:bodyDiv w:val="1"/>
      <w:marLeft w:val="0"/>
      <w:marRight w:val="0"/>
      <w:marTop w:val="0"/>
      <w:marBottom w:val="0"/>
      <w:divBdr>
        <w:top w:val="none" w:sz="0" w:space="0" w:color="auto"/>
        <w:left w:val="none" w:sz="0" w:space="0" w:color="auto"/>
        <w:bottom w:val="none" w:sz="0" w:space="0" w:color="auto"/>
        <w:right w:val="none" w:sz="0" w:space="0" w:color="auto"/>
      </w:divBdr>
    </w:div>
    <w:div w:id="389622141">
      <w:bodyDiv w:val="1"/>
      <w:marLeft w:val="0"/>
      <w:marRight w:val="0"/>
      <w:marTop w:val="0"/>
      <w:marBottom w:val="0"/>
      <w:divBdr>
        <w:top w:val="none" w:sz="0" w:space="0" w:color="auto"/>
        <w:left w:val="none" w:sz="0" w:space="0" w:color="auto"/>
        <w:bottom w:val="none" w:sz="0" w:space="0" w:color="auto"/>
        <w:right w:val="none" w:sz="0" w:space="0" w:color="auto"/>
      </w:divBdr>
    </w:div>
    <w:div w:id="459038798">
      <w:bodyDiv w:val="1"/>
      <w:marLeft w:val="0"/>
      <w:marRight w:val="0"/>
      <w:marTop w:val="0"/>
      <w:marBottom w:val="0"/>
      <w:divBdr>
        <w:top w:val="none" w:sz="0" w:space="0" w:color="auto"/>
        <w:left w:val="none" w:sz="0" w:space="0" w:color="auto"/>
        <w:bottom w:val="none" w:sz="0" w:space="0" w:color="auto"/>
        <w:right w:val="none" w:sz="0" w:space="0" w:color="auto"/>
      </w:divBdr>
    </w:div>
    <w:div w:id="464737487">
      <w:bodyDiv w:val="1"/>
      <w:marLeft w:val="0"/>
      <w:marRight w:val="0"/>
      <w:marTop w:val="0"/>
      <w:marBottom w:val="0"/>
      <w:divBdr>
        <w:top w:val="none" w:sz="0" w:space="0" w:color="auto"/>
        <w:left w:val="none" w:sz="0" w:space="0" w:color="auto"/>
        <w:bottom w:val="none" w:sz="0" w:space="0" w:color="auto"/>
        <w:right w:val="none" w:sz="0" w:space="0" w:color="auto"/>
      </w:divBdr>
    </w:div>
    <w:div w:id="795490415">
      <w:bodyDiv w:val="1"/>
      <w:marLeft w:val="0"/>
      <w:marRight w:val="0"/>
      <w:marTop w:val="0"/>
      <w:marBottom w:val="0"/>
      <w:divBdr>
        <w:top w:val="none" w:sz="0" w:space="0" w:color="auto"/>
        <w:left w:val="none" w:sz="0" w:space="0" w:color="auto"/>
        <w:bottom w:val="none" w:sz="0" w:space="0" w:color="auto"/>
        <w:right w:val="none" w:sz="0" w:space="0" w:color="auto"/>
      </w:divBdr>
    </w:div>
    <w:div w:id="891890605">
      <w:bodyDiv w:val="1"/>
      <w:marLeft w:val="0"/>
      <w:marRight w:val="0"/>
      <w:marTop w:val="0"/>
      <w:marBottom w:val="0"/>
      <w:divBdr>
        <w:top w:val="none" w:sz="0" w:space="0" w:color="auto"/>
        <w:left w:val="none" w:sz="0" w:space="0" w:color="auto"/>
        <w:bottom w:val="none" w:sz="0" w:space="0" w:color="auto"/>
        <w:right w:val="none" w:sz="0" w:space="0" w:color="auto"/>
      </w:divBdr>
    </w:div>
    <w:div w:id="926381678">
      <w:bodyDiv w:val="1"/>
      <w:marLeft w:val="0"/>
      <w:marRight w:val="0"/>
      <w:marTop w:val="0"/>
      <w:marBottom w:val="0"/>
      <w:divBdr>
        <w:top w:val="none" w:sz="0" w:space="0" w:color="auto"/>
        <w:left w:val="none" w:sz="0" w:space="0" w:color="auto"/>
        <w:bottom w:val="none" w:sz="0" w:space="0" w:color="auto"/>
        <w:right w:val="none" w:sz="0" w:space="0" w:color="auto"/>
      </w:divBdr>
    </w:div>
    <w:div w:id="931007802">
      <w:bodyDiv w:val="1"/>
      <w:marLeft w:val="0"/>
      <w:marRight w:val="0"/>
      <w:marTop w:val="0"/>
      <w:marBottom w:val="0"/>
      <w:divBdr>
        <w:top w:val="none" w:sz="0" w:space="0" w:color="auto"/>
        <w:left w:val="none" w:sz="0" w:space="0" w:color="auto"/>
        <w:bottom w:val="none" w:sz="0" w:space="0" w:color="auto"/>
        <w:right w:val="none" w:sz="0" w:space="0" w:color="auto"/>
      </w:divBdr>
    </w:div>
    <w:div w:id="939483743">
      <w:bodyDiv w:val="1"/>
      <w:marLeft w:val="0"/>
      <w:marRight w:val="0"/>
      <w:marTop w:val="0"/>
      <w:marBottom w:val="0"/>
      <w:divBdr>
        <w:top w:val="none" w:sz="0" w:space="0" w:color="auto"/>
        <w:left w:val="none" w:sz="0" w:space="0" w:color="auto"/>
        <w:bottom w:val="none" w:sz="0" w:space="0" w:color="auto"/>
        <w:right w:val="none" w:sz="0" w:space="0" w:color="auto"/>
      </w:divBdr>
    </w:div>
    <w:div w:id="1170801319">
      <w:bodyDiv w:val="1"/>
      <w:marLeft w:val="0"/>
      <w:marRight w:val="0"/>
      <w:marTop w:val="0"/>
      <w:marBottom w:val="0"/>
      <w:divBdr>
        <w:top w:val="none" w:sz="0" w:space="0" w:color="auto"/>
        <w:left w:val="none" w:sz="0" w:space="0" w:color="auto"/>
        <w:bottom w:val="none" w:sz="0" w:space="0" w:color="auto"/>
        <w:right w:val="none" w:sz="0" w:space="0" w:color="auto"/>
      </w:divBdr>
    </w:div>
    <w:div w:id="1324814096">
      <w:bodyDiv w:val="1"/>
      <w:marLeft w:val="0"/>
      <w:marRight w:val="0"/>
      <w:marTop w:val="0"/>
      <w:marBottom w:val="0"/>
      <w:divBdr>
        <w:top w:val="none" w:sz="0" w:space="0" w:color="auto"/>
        <w:left w:val="none" w:sz="0" w:space="0" w:color="auto"/>
        <w:bottom w:val="none" w:sz="0" w:space="0" w:color="auto"/>
        <w:right w:val="none" w:sz="0" w:space="0" w:color="auto"/>
      </w:divBdr>
    </w:div>
    <w:div w:id="1337611753">
      <w:bodyDiv w:val="1"/>
      <w:marLeft w:val="0"/>
      <w:marRight w:val="0"/>
      <w:marTop w:val="0"/>
      <w:marBottom w:val="0"/>
      <w:divBdr>
        <w:top w:val="none" w:sz="0" w:space="0" w:color="auto"/>
        <w:left w:val="none" w:sz="0" w:space="0" w:color="auto"/>
        <w:bottom w:val="none" w:sz="0" w:space="0" w:color="auto"/>
        <w:right w:val="none" w:sz="0" w:space="0" w:color="auto"/>
      </w:divBdr>
    </w:div>
    <w:div w:id="1460803255">
      <w:bodyDiv w:val="1"/>
      <w:marLeft w:val="0"/>
      <w:marRight w:val="0"/>
      <w:marTop w:val="0"/>
      <w:marBottom w:val="0"/>
      <w:divBdr>
        <w:top w:val="none" w:sz="0" w:space="0" w:color="auto"/>
        <w:left w:val="none" w:sz="0" w:space="0" w:color="auto"/>
        <w:bottom w:val="none" w:sz="0" w:space="0" w:color="auto"/>
        <w:right w:val="none" w:sz="0" w:space="0" w:color="auto"/>
      </w:divBdr>
    </w:div>
    <w:div w:id="1477185407">
      <w:bodyDiv w:val="1"/>
      <w:marLeft w:val="0"/>
      <w:marRight w:val="0"/>
      <w:marTop w:val="0"/>
      <w:marBottom w:val="0"/>
      <w:divBdr>
        <w:top w:val="none" w:sz="0" w:space="0" w:color="auto"/>
        <w:left w:val="none" w:sz="0" w:space="0" w:color="auto"/>
        <w:bottom w:val="none" w:sz="0" w:space="0" w:color="auto"/>
        <w:right w:val="none" w:sz="0" w:space="0" w:color="auto"/>
      </w:divBdr>
    </w:div>
    <w:div w:id="1488663563">
      <w:bodyDiv w:val="1"/>
      <w:marLeft w:val="0"/>
      <w:marRight w:val="0"/>
      <w:marTop w:val="0"/>
      <w:marBottom w:val="0"/>
      <w:divBdr>
        <w:top w:val="none" w:sz="0" w:space="0" w:color="auto"/>
        <w:left w:val="none" w:sz="0" w:space="0" w:color="auto"/>
        <w:bottom w:val="none" w:sz="0" w:space="0" w:color="auto"/>
        <w:right w:val="none" w:sz="0" w:space="0" w:color="auto"/>
      </w:divBdr>
    </w:div>
    <w:div w:id="1493596315">
      <w:bodyDiv w:val="1"/>
      <w:marLeft w:val="0"/>
      <w:marRight w:val="0"/>
      <w:marTop w:val="0"/>
      <w:marBottom w:val="0"/>
      <w:divBdr>
        <w:top w:val="none" w:sz="0" w:space="0" w:color="auto"/>
        <w:left w:val="none" w:sz="0" w:space="0" w:color="auto"/>
        <w:bottom w:val="none" w:sz="0" w:space="0" w:color="auto"/>
        <w:right w:val="none" w:sz="0" w:space="0" w:color="auto"/>
      </w:divBdr>
    </w:div>
    <w:div w:id="1569878787">
      <w:bodyDiv w:val="1"/>
      <w:marLeft w:val="0"/>
      <w:marRight w:val="0"/>
      <w:marTop w:val="0"/>
      <w:marBottom w:val="0"/>
      <w:divBdr>
        <w:top w:val="none" w:sz="0" w:space="0" w:color="auto"/>
        <w:left w:val="none" w:sz="0" w:space="0" w:color="auto"/>
        <w:bottom w:val="none" w:sz="0" w:space="0" w:color="auto"/>
        <w:right w:val="none" w:sz="0" w:space="0" w:color="auto"/>
      </w:divBdr>
    </w:div>
    <w:div w:id="1647584015">
      <w:bodyDiv w:val="1"/>
      <w:marLeft w:val="0"/>
      <w:marRight w:val="0"/>
      <w:marTop w:val="0"/>
      <w:marBottom w:val="0"/>
      <w:divBdr>
        <w:top w:val="none" w:sz="0" w:space="0" w:color="auto"/>
        <w:left w:val="none" w:sz="0" w:space="0" w:color="auto"/>
        <w:bottom w:val="none" w:sz="0" w:space="0" w:color="auto"/>
        <w:right w:val="none" w:sz="0" w:space="0" w:color="auto"/>
      </w:divBdr>
    </w:div>
    <w:div w:id="1678532656">
      <w:bodyDiv w:val="1"/>
      <w:marLeft w:val="0"/>
      <w:marRight w:val="0"/>
      <w:marTop w:val="0"/>
      <w:marBottom w:val="0"/>
      <w:divBdr>
        <w:top w:val="none" w:sz="0" w:space="0" w:color="auto"/>
        <w:left w:val="none" w:sz="0" w:space="0" w:color="auto"/>
        <w:bottom w:val="none" w:sz="0" w:space="0" w:color="auto"/>
        <w:right w:val="none" w:sz="0" w:space="0" w:color="auto"/>
      </w:divBdr>
    </w:div>
    <w:div w:id="1688868114">
      <w:bodyDiv w:val="1"/>
      <w:marLeft w:val="0"/>
      <w:marRight w:val="0"/>
      <w:marTop w:val="0"/>
      <w:marBottom w:val="0"/>
      <w:divBdr>
        <w:top w:val="none" w:sz="0" w:space="0" w:color="auto"/>
        <w:left w:val="none" w:sz="0" w:space="0" w:color="auto"/>
        <w:bottom w:val="none" w:sz="0" w:space="0" w:color="auto"/>
        <w:right w:val="none" w:sz="0" w:space="0" w:color="auto"/>
      </w:divBdr>
    </w:div>
    <w:div w:id="1710909446">
      <w:bodyDiv w:val="1"/>
      <w:marLeft w:val="0"/>
      <w:marRight w:val="0"/>
      <w:marTop w:val="0"/>
      <w:marBottom w:val="0"/>
      <w:divBdr>
        <w:top w:val="none" w:sz="0" w:space="0" w:color="auto"/>
        <w:left w:val="none" w:sz="0" w:space="0" w:color="auto"/>
        <w:bottom w:val="none" w:sz="0" w:space="0" w:color="auto"/>
        <w:right w:val="none" w:sz="0" w:space="0" w:color="auto"/>
      </w:divBdr>
    </w:div>
    <w:div w:id="1810392077">
      <w:bodyDiv w:val="1"/>
      <w:marLeft w:val="0"/>
      <w:marRight w:val="0"/>
      <w:marTop w:val="0"/>
      <w:marBottom w:val="0"/>
      <w:divBdr>
        <w:top w:val="none" w:sz="0" w:space="0" w:color="auto"/>
        <w:left w:val="none" w:sz="0" w:space="0" w:color="auto"/>
        <w:bottom w:val="none" w:sz="0" w:space="0" w:color="auto"/>
        <w:right w:val="none" w:sz="0" w:space="0" w:color="auto"/>
      </w:divBdr>
    </w:div>
    <w:div w:id="1892187836">
      <w:bodyDiv w:val="1"/>
      <w:marLeft w:val="0"/>
      <w:marRight w:val="0"/>
      <w:marTop w:val="0"/>
      <w:marBottom w:val="0"/>
      <w:divBdr>
        <w:top w:val="none" w:sz="0" w:space="0" w:color="auto"/>
        <w:left w:val="none" w:sz="0" w:space="0" w:color="auto"/>
        <w:bottom w:val="none" w:sz="0" w:space="0" w:color="auto"/>
        <w:right w:val="none" w:sz="0" w:space="0" w:color="auto"/>
      </w:divBdr>
    </w:div>
    <w:div w:id="1904218313">
      <w:bodyDiv w:val="1"/>
      <w:marLeft w:val="0"/>
      <w:marRight w:val="0"/>
      <w:marTop w:val="0"/>
      <w:marBottom w:val="0"/>
      <w:divBdr>
        <w:top w:val="none" w:sz="0" w:space="0" w:color="auto"/>
        <w:left w:val="none" w:sz="0" w:space="0" w:color="auto"/>
        <w:bottom w:val="none" w:sz="0" w:space="0" w:color="auto"/>
        <w:right w:val="none" w:sz="0" w:space="0" w:color="auto"/>
      </w:divBdr>
    </w:div>
    <w:div w:id="1914896743">
      <w:bodyDiv w:val="1"/>
      <w:marLeft w:val="0"/>
      <w:marRight w:val="0"/>
      <w:marTop w:val="0"/>
      <w:marBottom w:val="0"/>
      <w:divBdr>
        <w:top w:val="none" w:sz="0" w:space="0" w:color="auto"/>
        <w:left w:val="none" w:sz="0" w:space="0" w:color="auto"/>
        <w:bottom w:val="none" w:sz="0" w:space="0" w:color="auto"/>
        <w:right w:val="none" w:sz="0" w:space="0" w:color="auto"/>
      </w:divBdr>
    </w:div>
    <w:div w:id="1925603258">
      <w:bodyDiv w:val="1"/>
      <w:marLeft w:val="0"/>
      <w:marRight w:val="0"/>
      <w:marTop w:val="0"/>
      <w:marBottom w:val="0"/>
      <w:divBdr>
        <w:top w:val="none" w:sz="0" w:space="0" w:color="auto"/>
        <w:left w:val="none" w:sz="0" w:space="0" w:color="auto"/>
        <w:bottom w:val="none" w:sz="0" w:space="0" w:color="auto"/>
        <w:right w:val="none" w:sz="0" w:space="0" w:color="auto"/>
      </w:divBdr>
    </w:div>
    <w:div w:id="1935282597">
      <w:bodyDiv w:val="1"/>
      <w:marLeft w:val="0"/>
      <w:marRight w:val="0"/>
      <w:marTop w:val="0"/>
      <w:marBottom w:val="0"/>
      <w:divBdr>
        <w:top w:val="none" w:sz="0" w:space="0" w:color="auto"/>
        <w:left w:val="none" w:sz="0" w:space="0" w:color="auto"/>
        <w:bottom w:val="none" w:sz="0" w:space="0" w:color="auto"/>
        <w:right w:val="none" w:sz="0" w:space="0" w:color="auto"/>
      </w:divBdr>
    </w:div>
    <w:div w:id="1974405253">
      <w:bodyDiv w:val="1"/>
      <w:marLeft w:val="0"/>
      <w:marRight w:val="0"/>
      <w:marTop w:val="0"/>
      <w:marBottom w:val="0"/>
      <w:divBdr>
        <w:top w:val="none" w:sz="0" w:space="0" w:color="auto"/>
        <w:left w:val="none" w:sz="0" w:space="0" w:color="auto"/>
        <w:bottom w:val="none" w:sz="0" w:space="0" w:color="auto"/>
        <w:right w:val="none" w:sz="0" w:space="0" w:color="auto"/>
      </w:divBdr>
    </w:div>
    <w:div w:id="2138334652">
      <w:bodyDiv w:val="1"/>
      <w:marLeft w:val="0"/>
      <w:marRight w:val="0"/>
      <w:marTop w:val="0"/>
      <w:marBottom w:val="0"/>
      <w:divBdr>
        <w:top w:val="none" w:sz="0" w:space="0" w:color="auto"/>
        <w:left w:val="none" w:sz="0" w:space="0" w:color="auto"/>
        <w:bottom w:val="none" w:sz="0" w:space="0" w:color="auto"/>
        <w:right w:val="none" w:sz="0" w:space="0" w:color="auto"/>
      </w:divBdr>
      <w:divsChild>
        <w:div w:id="84040304">
          <w:marLeft w:val="274"/>
          <w:marRight w:val="0"/>
          <w:marTop w:val="0"/>
          <w:marBottom w:val="0"/>
          <w:divBdr>
            <w:top w:val="none" w:sz="0" w:space="0" w:color="auto"/>
            <w:left w:val="none" w:sz="0" w:space="0" w:color="auto"/>
            <w:bottom w:val="none" w:sz="0" w:space="0" w:color="auto"/>
            <w:right w:val="none" w:sz="0" w:space="0" w:color="auto"/>
          </w:divBdr>
        </w:div>
        <w:div w:id="387336703">
          <w:marLeft w:val="274"/>
          <w:marRight w:val="0"/>
          <w:marTop w:val="0"/>
          <w:marBottom w:val="0"/>
          <w:divBdr>
            <w:top w:val="none" w:sz="0" w:space="0" w:color="auto"/>
            <w:left w:val="none" w:sz="0" w:space="0" w:color="auto"/>
            <w:bottom w:val="none" w:sz="0" w:space="0" w:color="auto"/>
            <w:right w:val="none" w:sz="0" w:space="0" w:color="auto"/>
          </w:divBdr>
        </w:div>
        <w:div w:id="1346247345">
          <w:marLeft w:val="274"/>
          <w:marRight w:val="0"/>
          <w:marTop w:val="0"/>
          <w:marBottom w:val="0"/>
          <w:divBdr>
            <w:top w:val="none" w:sz="0" w:space="0" w:color="auto"/>
            <w:left w:val="none" w:sz="0" w:space="0" w:color="auto"/>
            <w:bottom w:val="none" w:sz="0" w:space="0" w:color="auto"/>
            <w:right w:val="none" w:sz="0" w:space="0" w:color="auto"/>
          </w:divBdr>
        </w:div>
        <w:div w:id="1626354627">
          <w:marLeft w:val="274"/>
          <w:marRight w:val="0"/>
          <w:marTop w:val="0"/>
          <w:marBottom w:val="0"/>
          <w:divBdr>
            <w:top w:val="none" w:sz="0" w:space="0" w:color="auto"/>
            <w:left w:val="none" w:sz="0" w:space="0" w:color="auto"/>
            <w:bottom w:val="none" w:sz="0" w:space="0" w:color="auto"/>
            <w:right w:val="none" w:sz="0" w:space="0" w:color="auto"/>
          </w:divBdr>
        </w:div>
        <w:div w:id="1801915156">
          <w:marLeft w:val="274"/>
          <w:marRight w:val="0"/>
          <w:marTop w:val="0"/>
          <w:marBottom w:val="0"/>
          <w:divBdr>
            <w:top w:val="none" w:sz="0" w:space="0" w:color="auto"/>
            <w:left w:val="none" w:sz="0" w:space="0" w:color="auto"/>
            <w:bottom w:val="none" w:sz="0" w:space="0" w:color="auto"/>
            <w:right w:val="none" w:sz="0" w:space="0" w:color="auto"/>
          </w:divBdr>
        </w:div>
        <w:div w:id="196623426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E802967920D44AEAD6D0C9A2A63C1" ma:contentTypeVersion="9" ma:contentTypeDescription="Create a new document." ma:contentTypeScope="" ma:versionID="f476c5e121ace40072187b2f6cdbfdf5">
  <xsd:schema xmlns:xsd="http://www.w3.org/2001/XMLSchema" xmlns:xs="http://www.w3.org/2001/XMLSchema" xmlns:p="http://schemas.microsoft.com/office/2006/metadata/properties" xmlns:ns3="445c5ec7-f666-466a-98d5-dcdd833678cf" targetNamespace="http://schemas.microsoft.com/office/2006/metadata/properties" ma:root="true" ma:fieldsID="d9a0c8c0b00c6edd019b7e5b20a68108" ns3:_="">
    <xsd:import namespace="445c5ec7-f666-466a-98d5-dcdd833678c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c5ec7-f666-466a-98d5-dcdd83367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2C8F62-1A76-4FB5-8474-654FD75E2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c5ec7-f666-466a-98d5-dcdd833678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C29A28-CE71-4FB4-A30A-5526C69ACA2E}">
  <ds:schemaRefs>
    <ds:schemaRef ds:uri="http://schemas.openxmlformats.org/officeDocument/2006/bibliography"/>
  </ds:schemaRefs>
</ds:datastoreItem>
</file>

<file path=customXml/itemProps3.xml><?xml version="1.0" encoding="utf-8"?>
<ds:datastoreItem xmlns:ds="http://schemas.openxmlformats.org/officeDocument/2006/customXml" ds:itemID="{C158A8B4-103B-40D2-8475-4A22BFCC4F47}">
  <ds:schemaRefs>
    <ds:schemaRef ds:uri="http://schemas.microsoft.com/sharepoint/v3/contenttype/forms"/>
  </ds:schemaRefs>
</ds:datastoreItem>
</file>

<file path=customXml/itemProps4.xml><?xml version="1.0" encoding="utf-8"?>
<ds:datastoreItem xmlns:ds="http://schemas.openxmlformats.org/officeDocument/2006/customXml" ds:itemID="{EAA634C9-674B-462A-BD80-83E0A1D43276}">
  <ds:schemaRefs>
    <ds:schemaRef ds:uri="http://schemas.microsoft.com/office/2006/metadata/longProperties"/>
  </ds:schemaRefs>
</ds:datastoreItem>
</file>

<file path=customXml/itemProps5.xml><?xml version="1.0" encoding="utf-8"?>
<ds:datastoreItem xmlns:ds="http://schemas.openxmlformats.org/officeDocument/2006/customXml" ds:itemID="{CA1F1B58-483C-4AFA-B14A-DE891BE1ACD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efa4170-0d19-0005-0004-bc88714345d2}" enabled="1" method="Standard" siteId="{27f52091-606b-431f-bc74-4aaec2a82414}"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4432</Words>
  <Characters>25268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Pension_Statement_of_Investment_Principals_2017-11.docx</vt:lpstr>
    </vt:vector>
  </TitlesOfParts>
  <Company>GDUK</Company>
  <LinksUpToDate>false</LinksUpToDate>
  <CharactersWithSpaces>29641</CharactersWithSpaces>
  <SharedDoc>false</SharedDoc>
  <HLinks>
    <vt:vector size="120" baseType="variant">
      <vt:variant>
        <vt:i4>1572923</vt:i4>
      </vt:variant>
      <vt:variant>
        <vt:i4>116</vt:i4>
      </vt:variant>
      <vt:variant>
        <vt:i4>0</vt:i4>
      </vt:variant>
      <vt:variant>
        <vt:i4>5</vt:i4>
      </vt:variant>
      <vt:variant>
        <vt:lpwstr/>
      </vt:variant>
      <vt:variant>
        <vt:lpwstr>_Toc49344785</vt:lpwstr>
      </vt:variant>
      <vt:variant>
        <vt:i4>1638459</vt:i4>
      </vt:variant>
      <vt:variant>
        <vt:i4>110</vt:i4>
      </vt:variant>
      <vt:variant>
        <vt:i4>0</vt:i4>
      </vt:variant>
      <vt:variant>
        <vt:i4>5</vt:i4>
      </vt:variant>
      <vt:variant>
        <vt:lpwstr/>
      </vt:variant>
      <vt:variant>
        <vt:lpwstr>_Toc49344784</vt:lpwstr>
      </vt:variant>
      <vt:variant>
        <vt:i4>1966139</vt:i4>
      </vt:variant>
      <vt:variant>
        <vt:i4>104</vt:i4>
      </vt:variant>
      <vt:variant>
        <vt:i4>0</vt:i4>
      </vt:variant>
      <vt:variant>
        <vt:i4>5</vt:i4>
      </vt:variant>
      <vt:variant>
        <vt:lpwstr/>
      </vt:variant>
      <vt:variant>
        <vt:lpwstr>_Toc49344783</vt:lpwstr>
      </vt:variant>
      <vt:variant>
        <vt:i4>1900596</vt:i4>
      </vt:variant>
      <vt:variant>
        <vt:i4>98</vt:i4>
      </vt:variant>
      <vt:variant>
        <vt:i4>0</vt:i4>
      </vt:variant>
      <vt:variant>
        <vt:i4>5</vt:i4>
      </vt:variant>
      <vt:variant>
        <vt:lpwstr/>
      </vt:variant>
      <vt:variant>
        <vt:lpwstr>_Toc49344770</vt:lpwstr>
      </vt:variant>
      <vt:variant>
        <vt:i4>1310773</vt:i4>
      </vt:variant>
      <vt:variant>
        <vt:i4>92</vt:i4>
      </vt:variant>
      <vt:variant>
        <vt:i4>0</vt:i4>
      </vt:variant>
      <vt:variant>
        <vt:i4>5</vt:i4>
      </vt:variant>
      <vt:variant>
        <vt:lpwstr/>
      </vt:variant>
      <vt:variant>
        <vt:lpwstr>_Toc49344769</vt:lpwstr>
      </vt:variant>
      <vt:variant>
        <vt:i4>1376309</vt:i4>
      </vt:variant>
      <vt:variant>
        <vt:i4>86</vt:i4>
      </vt:variant>
      <vt:variant>
        <vt:i4>0</vt:i4>
      </vt:variant>
      <vt:variant>
        <vt:i4>5</vt:i4>
      </vt:variant>
      <vt:variant>
        <vt:lpwstr/>
      </vt:variant>
      <vt:variant>
        <vt:lpwstr>_Toc49344768</vt:lpwstr>
      </vt:variant>
      <vt:variant>
        <vt:i4>1900597</vt:i4>
      </vt:variant>
      <vt:variant>
        <vt:i4>80</vt:i4>
      </vt:variant>
      <vt:variant>
        <vt:i4>0</vt:i4>
      </vt:variant>
      <vt:variant>
        <vt:i4>5</vt:i4>
      </vt:variant>
      <vt:variant>
        <vt:lpwstr/>
      </vt:variant>
      <vt:variant>
        <vt:lpwstr>_Toc49344760</vt:lpwstr>
      </vt:variant>
      <vt:variant>
        <vt:i4>1310774</vt:i4>
      </vt:variant>
      <vt:variant>
        <vt:i4>74</vt:i4>
      </vt:variant>
      <vt:variant>
        <vt:i4>0</vt:i4>
      </vt:variant>
      <vt:variant>
        <vt:i4>5</vt:i4>
      </vt:variant>
      <vt:variant>
        <vt:lpwstr/>
      </vt:variant>
      <vt:variant>
        <vt:lpwstr>_Toc49344759</vt:lpwstr>
      </vt:variant>
      <vt:variant>
        <vt:i4>1376310</vt:i4>
      </vt:variant>
      <vt:variant>
        <vt:i4>68</vt:i4>
      </vt:variant>
      <vt:variant>
        <vt:i4>0</vt:i4>
      </vt:variant>
      <vt:variant>
        <vt:i4>5</vt:i4>
      </vt:variant>
      <vt:variant>
        <vt:lpwstr/>
      </vt:variant>
      <vt:variant>
        <vt:lpwstr>_Toc49344758</vt:lpwstr>
      </vt:variant>
      <vt:variant>
        <vt:i4>1703990</vt:i4>
      </vt:variant>
      <vt:variant>
        <vt:i4>62</vt:i4>
      </vt:variant>
      <vt:variant>
        <vt:i4>0</vt:i4>
      </vt:variant>
      <vt:variant>
        <vt:i4>5</vt:i4>
      </vt:variant>
      <vt:variant>
        <vt:lpwstr/>
      </vt:variant>
      <vt:variant>
        <vt:lpwstr>_Toc49344757</vt:lpwstr>
      </vt:variant>
      <vt:variant>
        <vt:i4>1769526</vt:i4>
      </vt:variant>
      <vt:variant>
        <vt:i4>56</vt:i4>
      </vt:variant>
      <vt:variant>
        <vt:i4>0</vt:i4>
      </vt:variant>
      <vt:variant>
        <vt:i4>5</vt:i4>
      </vt:variant>
      <vt:variant>
        <vt:lpwstr/>
      </vt:variant>
      <vt:variant>
        <vt:lpwstr>_Toc49344756</vt:lpwstr>
      </vt:variant>
      <vt:variant>
        <vt:i4>1572918</vt:i4>
      </vt:variant>
      <vt:variant>
        <vt:i4>50</vt:i4>
      </vt:variant>
      <vt:variant>
        <vt:i4>0</vt:i4>
      </vt:variant>
      <vt:variant>
        <vt:i4>5</vt:i4>
      </vt:variant>
      <vt:variant>
        <vt:lpwstr/>
      </vt:variant>
      <vt:variant>
        <vt:lpwstr>_Toc49344755</vt:lpwstr>
      </vt:variant>
      <vt:variant>
        <vt:i4>1638454</vt:i4>
      </vt:variant>
      <vt:variant>
        <vt:i4>44</vt:i4>
      </vt:variant>
      <vt:variant>
        <vt:i4>0</vt:i4>
      </vt:variant>
      <vt:variant>
        <vt:i4>5</vt:i4>
      </vt:variant>
      <vt:variant>
        <vt:lpwstr/>
      </vt:variant>
      <vt:variant>
        <vt:lpwstr>_Toc49344754</vt:lpwstr>
      </vt:variant>
      <vt:variant>
        <vt:i4>1966134</vt:i4>
      </vt:variant>
      <vt:variant>
        <vt:i4>38</vt:i4>
      </vt:variant>
      <vt:variant>
        <vt:i4>0</vt:i4>
      </vt:variant>
      <vt:variant>
        <vt:i4>5</vt:i4>
      </vt:variant>
      <vt:variant>
        <vt:lpwstr/>
      </vt:variant>
      <vt:variant>
        <vt:lpwstr>_Toc49344753</vt:lpwstr>
      </vt:variant>
      <vt:variant>
        <vt:i4>2031670</vt:i4>
      </vt:variant>
      <vt:variant>
        <vt:i4>32</vt:i4>
      </vt:variant>
      <vt:variant>
        <vt:i4>0</vt:i4>
      </vt:variant>
      <vt:variant>
        <vt:i4>5</vt:i4>
      </vt:variant>
      <vt:variant>
        <vt:lpwstr/>
      </vt:variant>
      <vt:variant>
        <vt:lpwstr>_Toc49344752</vt:lpwstr>
      </vt:variant>
      <vt:variant>
        <vt:i4>1835062</vt:i4>
      </vt:variant>
      <vt:variant>
        <vt:i4>26</vt:i4>
      </vt:variant>
      <vt:variant>
        <vt:i4>0</vt:i4>
      </vt:variant>
      <vt:variant>
        <vt:i4>5</vt:i4>
      </vt:variant>
      <vt:variant>
        <vt:lpwstr/>
      </vt:variant>
      <vt:variant>
        <vt:lpwstr>_Toc49344751</vt:lpwstr>
      </vt:variant>
      <vt:variant>
        <vt:i4>1900598</vt:i4>
      </vt:variant>
      <vt:variant>
        <vt:i4>20</vt:i4>
      </vt:variant>
      <vt:variant>
        <vt:i4>0</vt:i4>
      </vt:variant>
      <vt:variant>
        <vt:i4>5</vt:i4>
      </vt:variant>
      <vt:variant>
        <vt:lpwstr/>
      </vt:variant>
      <vt:variant>
        <vt:lpwstr>_Toc49344750</vt:lpwstr>
      </vt:variant>
      <vt:variant>
        <vt:i4>1310775</vt:i4>
      </vt:variant>
      <vt:variant>
        <vt:i4>14</vt:i4>
      </vt:variant>
      <vt:variant>
        <vt:i4>0</vt:i4>
      </vt:variant>
      <vt:variant>
        <vt:i4>5</vt:i4>
      </vt:variant>
      <vt:variant>
        <vt:lpwstr/>
      </vt:variant>
      <vt:variant>
        <vt:lpwstr>_Toc49344749</vt:lpwstr>
      </vt:variant>
      <vt:variant>
        <vt:i4>1769527</vt:i4>
      </vt:variant>
      <vt:variant>
        <vt:i4>8</vt:i4>
      </vt:variant>
      <vt:variant>
        <vt:i4>0</vt:i4>
      </vt:variant>
      <vt:variant>
        <vt:i4>5</vt:i4>
      </vt:variant>
      <vt:variant>
        <vt:lpwstr/>
      </vt:variant>
      <vt:variant>
        <vt:lpwstr>_Toc49344746</vt:lpwstr>
      </vt:variant>
      <vt:variant>
        <vt:i4>1572919</vt:i4>
      </vt:variant>
      <vt:variant>
        <vt:i4>2</vt:i4>
      </vt:variant>
      <vt:variant>
        <vt:i4>0</vt:i4>
      </vt:variant>
      <vt:variant>
        <vt:i4>5</vt:i4>
      </vt:variant>
      <vt:variant>
        <vt:lpwstr/>
      </vt:variant>
      <vt:variant>
        <vt:lpwstr>_Toc49344745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Pension_Statement_of_Investment_Principals_2017-11.docx</dc:title>
  <dc:subject/>
  <dc:creator>LJD</dc:creator>
  <cp:keywords/>
  <cp:lastModifiedBy>Nigel Edwards</cp:lastModifiedBy>
  <cp:revision>2</cp:revision>
  <cp:lastPrinted>2023-09-28T14:21:00Z</cp:lastPrinted>
  <dcterms:created xsi:type="dcterms:W3CDTF">2023-10-12T13:57:00Z</dcterms:created>
  <dcterms:modified xsi:type="dcterms:W3CDTF">2023-10-12T13:57:00Z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0x010100227E802967920D44AEAD6D0C9A2A63C1</vt:lpwstr>
  </property>
  <property fmtid="{D5CDD505-2E9C-101B-9397-08002B2CF9AE}" pid="3" name="Series Code">
    <vt:lpwstr>46;#HUM-30|c6f55ba5-bc1d-4e57-bbab-1e3c712267e7</vt:lpwstr>
  </property>
  <property fmtid="{D5CDD505-2E9C-101B-9397-08002B2CF9AE}" pid="4" name="Company Marking">
    <vt:lpwstr/>
  </property>
  <property fmtid="{D5CDD505-2E9C-101B-9397-08002B2CF9AE}" pid="5" name="Export Class">
    <vt:lpwstr/>
  </property>
  <property fmtid="{D5CDD505-2E9C-101B-9397-08002B2CF9AE}" pid="6" name="Security Marking">
    <vt:lpwstr/>
  </property>
  <property fmtid="{D5CDD505-2E9C-101B-9397-08002B2CF9AE}" pid="7" name="_dlc_DocId">
    <vt:lpwstr>FINACC-495577184-12104</vt:lpwstr>
  </property>
  <property fmtid="{D5CDD505-2E9C-101B-9397-08002B2CF9AE}" pid="8" name="_dlc_DocIdItemGuid">
    <vt:lpwstr>a354e275-ed57-490a-bd62-633214cabb0a</vt:lpwstr>
  </property>
  <property fmtid="{D5CDD505-2E9C-101B-9397-08002B2CF9AE}" pid="9" name="_dlc_DocIdUrl">
    <vt:lpwstr>https://dynamicshub.generaldynamics.uk.com/ss/FA/Hast/_layouts/15/DocIdRedir.aspx?ID=FINACC-495577184-12104, FINACC-495577184-12104</vt:lpwstr>
  </property>
  <property fmtid="{D5CDD505-2E9C-101B-9397-08002B2CF9AE}" pid="10" name="StdFooter">
    <vt:lpwstr>False</vt:lpwstr>
  </property>
  <property fmtid="{D5CDD505-2E9C-101B-9397-08002B2CF9AE}" pid="11" name="eDOCS AutoSave">
    <vt:lpwstr>20200414120948215</vt:lpwstr>
  </property>
  <property fmtid="{D5CDD505-2E9C-101B-9397-08002B2CF9AE}" pid="12" name="MSIP_Label_38f1469a-2c2a-4aee-b92b-090d4c5468ff_Enabled">
    <vt:lpwstr>true</vt:lpwstr>
  </property>
  <property fmtid="{D5CDD505-2E9C-101B-9397-08002B2CF9AE}" pid="13" name="MSIP_Label_38f1469a-2c2a-4aee-b92b-090d4c5468ff_SetDate">
    <vt:lpwstr>2023-08-24T09:34:12Z</vt:lpwstr>
  </property>
  <property fmtid="{D5CDD505-2E9C-101B-9397-08002B2CF9AE}" pid="14" name="MSIP_Label_38f1469a-2c2a-4aee-b92b-090d4c5468ff_Method">
    <vt:lpwstr>Standard</vt:lpwstr>
  </property>
  <property fmtid="{D5CDD505-2E9C-101B-9397-08002B2CF9AE}" pid="15" name="MSIP_Label_38f1469a-2c2a-4aee-b92b-090d4c5468ff_Name">
    <vt:lpwstr>Confidential - Unmarked</vt:lpwstr>
  </property>
  <property fmtid="{D5CDD505-2E9C-101B-9397-08002B2CF9AE}" pid="16" name="MSIP_Label_38f1469a-2c2a-4aee-b92b-090d4c5468ff_SiteId">
    <vt:lpwstr>2a6e6092-73e4-4752-b1a5-477a17f5056d</vt:lpwstr>
  </property>
  <property fmtid="{D5CDD505-2E9C-101B-9397-08002B2CF9AE}" pid="17" name="MSIP_Label_38f1469a-2c2a-4aee-b92b-090d4c5468ff_ActionId">
    <vt:lpwstr>4d741057-cf0c-46fc-9d19-957be4bde0eb</vt:lpwstr>
  </property>
  <property fmtid="{D5CDD505-2E9C-101B-9397-08002B2CF9AE}" pid="18" name="MSIP_Label_38f1469a-2c2a-4aee-b92b-090d4c5468ff_ContentBits">
    <vt:lpwstr>0</vt:lpwstr>
  </property>
  <property fmtid="{D5CDD505-2E9C-101B-9397-08002B2CF9AE}" pid="19" name="MPR_DocID">
    <vt:lpwstr>0943775c08ef4a9494c2aee7432938b9</vt:lpwstr>
  </property>
  <property fmtid="{D5CDD505-2E9C-101B-9397-08002B2CF9AE}" pid="20" name="MSIP_Label_defa4170-0d19-0005-0004-bc88714345d2_Enabled">
    <vt:lpwstr>true</vt:lpwstr>
  </property>
  <property fmtid="{D5CDD505-2E9C-101B-9397-08002B2CF9AE}" pid="21" name="MSIP_Label_defa4170-0d19-0005-0004-bc88714345d2_SetDate">
    <vt:lpwstr>2023-10-12T13:55:13Z</vt:lpwstr>
  </property>
  <property fmtid="{D5CDD505-2E9C-101B-9397-08002B2CF9AE}" pid="22" name="MSIP_Label_defa4170-0d19-0005-0004-bc88714345d2_Method">
    <vt:lpwstr>Standard</vt:lpwstr>
  </property>
  <property fmtid="{D5CDD505-2E9C-101B-9397-08002B2CF9AE}" pid="23" name="MSIP_Label_defa4170-0d19-0005-0004-bc88714345d2_Name">
    <vt:lpwstr>defa4170-0d19-0005-0004-bc88714345d2</vt:lpwstr>
  </property>
  <property fmtid="{D5CDD505-2E9C-101B-9397-08002B2CF9AE}" pid="24" name="MSIP_Label_defa4170-0d19-0005-0004-bc88714345d2_SiteId">
    <vt:lpwstr>27f52091-606b-431f-bc74-4aaec2a82414</vt:lpwstr>
  </property>
  <property fmtid="{D5CDD505-2E9C-101B-9397-08002B2CF9AE}" pid="25" name="MSIP_Label_defa4170-0d19-0005-0004-bc88714345d2_ActionId">
    <vt:lpwstr>430d38de-6bd6-47f8-a94e-939e9d297dff</vt:lpwstr>
  </property>
  <property fmtid="{D5CDD505-2E9C-101B-9397-08002B2CF9AE}" pid="26" name="MSIP_Label_defa4170-0d19-0005-0004-bc88714345d2_ContentBits">
    <vt:lpwstr>0</vt:lpwstr>
  </property>
</Properties>
</file>